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AA66E" w14:textId="3C552DCB" w:rsidR="004D6B86" w:rsidRPr="00A278E3" w:rsidRDefault="00B50438" w:rsidP="00C8309A">
      <w:pPr>
        <w:pStyle w:val="Title"/>
        <w:spacing w:before="1200" w:line="360" w:lineRule="auto"/>
        <w:rPr>
          <w:rFonts w:cstheme="majorHAnsi"/>
          <w:sz w:val="36"/>
          <w:szCs w:val="36"/>
        </w:rPr>
      </w:pPr>
      <w:bookmarkStart w:id="0" w:name="_GoBack"/>
      <w:bookmarkEnd w:id="0"/>
      <w:r>
        <w:rPr>
          <w:rFonts w:cstheme="majorHAnsi"/>
          <w:sz w:val="36"/>
          <w:szCs w:val="36"/>
        </w:rPr>
        <w:t xml:space="preserve"> </w:t>
      </w:r>
      <w:r w:rsidR="00B07BEA">
        <w:rPr>
          <w:rFonts w:cstheme="majorHAnsi"/>
          <w:sz w:val="36"/>
          <w:szCs w:val="36"/>
        </w:rPr>
        <w:t xml:space="preserve">AVM </w:t>
      </w:r>
      <w:r w:rsidR="007D20E8">
        <w:rPr>
          <w:rFonts w:cstheme="majorHAnsi"/>
          <w:sz w:val="36"/>
          <w:szCs w:val="36"/>
        </w:rPr>
        <w:t>Testing and Evaluati</w:t>
      </w:r>
      <w:r w:rsidR="004B4104">
        <w:rPr>
          <w:rFonts w:cstheme="majorHAnsi"/>
          <w:sz w:val="36"/>
          <w:szCs w:val="36"/>
        </w:rPr>
        <w:t>on</w:t>
      </w:r>
      <w:r w:rsidR="008C06FE">
        <w:rPr>
          <w:rFonts w:cstheme="majorHAnsi"/>
          <w:sz w:val="36"/>
          <w:szCs w:val="36"/>
        </w:rPr>
        <w:t xml:space="preserve"> </w:t>
      </w:r>
      <w:r w:rsidR="008A0BB6">
        <w:rPr>
          <w:rFonts w:cstheme="majorHAnsi"/>
          <w:sz w:val="36"/>
          <w:szCs w:val="36"/>
        </w:rPr>
        <w:t xml:space="preserve">using </w:t>
      </w:r>
      <w:r w:rsidR="00EF0F49">
        <w:rPr>
          <w:rFonts w:cstheme="majorHAnsi"/>
          <w:sz w:val="36"/>
          <w:szCs w:val="36"/>
        </w:rPr>
        <w:t xml:space="preserve">AVM </w:t>
      </w:r>
      <w:r w:rsidR="00734930" w:rsidRPr="00A278E3">
        <w:rPr>
          <w:rFonts w:cstheme="majorHAnsi"/>
          <w:sz w:val="36"/>
          <w:szCs w:val="36"/>
        </w:rPr>
        <w:t>Performance Metrics</w:t>
      </w:r>
    </w:p>
    <w:p w14:paraId="1E1C2A76" w14:textId="77777777" w:rsidR="008C4088" w:rsidRDefault="008C4088" w:rsidP="008C4088">
      <w:pPr>
        <w:spacing w:before="240" w:line="240" w:lineRule="auto"/>
        <w:ind w:firstLine="0"/>
        <w:jc w:val="center"/>
        <w:rPr>
          <w:rFonts w:asciiTheme="majorHAnsi" w:hAnsiTheme="majorHAnsi" w:cstheme="majorHAnsi"/>
          <w:b/>
          <w:sz w:val="28"/>
          <w:szCs w:val="28"/>
        </w:rPr>
      </w:pPr>
    </w:p>
    <w:p w14:paraId="47D1FC72" w14:textId="25E00492" w:rsidR="008C4088" w:rsidRPr="00A278E3" w:rsidRDefault="008C4088" w:rsidP="008C4088">
      <w:pPr>
        <w:spacing w:before="240" w:line="240" w:lineRule="auto"/>
        <w:ind w:firstLine="0"/>
        <w:jc w:val="center"/>
        <w:rPr>
          <w:rFonts w:asciiTheme="majorHAnsi" w:hAnsiTheme="majorHAnsi" w:cstheme="majorHAnsi"/>
          <w:b/>
          <w:sz w:val="28"/>
          <w:szCs w:val="28"/>
        </w:rPr>
      </w:pPr>
      <w:r w:rsidRPr="00A278E3">
        <w:rPr>
          <w:rFonts w:asciiTheme="majorHAnsi" w:hAnsiTheme="majorHAnsi" w:cstheme="majorHAnsi"/>
          <w:b/>
          <w:sz w:val="28"/>
          <w:szCs w:val="28"/>
        </w:rPr>
        <w:t>Lee Kennedy</w:t>
      </w:r>
    </w:p>
    <w:p w14:paraId="5DCE77CE" w14:textId="77777777" w:rsidR="008C4088" w:rsidRPr="00A278E3" w:rsidRDefault="008C4088" w:rsidP="008C4088">
      <w:pPr>
        <w:spacing w:line="240" w:lineRule="auto"/>
        <w:ind w:firstLine="0"/>
        <w:rPr>
          <w:rFonts w:asciiTheme="majorHAnsi" w:hAnsiTheme="majorHAnsi" w:cstheme="majorHAnsi"/>
          <w:b/>
          <w:sz w:val="28"/>
          <w:szCs w:val="28"/>
        </w:rPr>
      </w:pPr>
    </w:p>
    <w:p w14:paraId="54D7043C" w14:textId="77777777" w:rsidR="008C4088" w:rsidRPr="00BE31A0" w:rsidRDefault="008C4088" w:rsidP="00BE31A0">
      <w:pPr>
        <w:pStyle w:val="ListParagraph"/>
        <w:spacing w:line="240" w:lineRule="auto"/>
        <w:ind w:left="0"/>
        <w:jc w:val="center"/>
        <w:rPr>
          <w:rFonts w:asciiTheme="majorHAnsi" w:hAnsiTheme="majorHAnsi" w:cstheme="majorHAnsi"/>
          <w:sz w:val="28"/>
          <w:szCs w:val="28"/>
        </w:rPr>
      </w:pPr>
      <w:r w:rsidRPr="00BE31A0">
        <w:rPr>
          <w:rFonts w:asciiTheme="majorHAnsi" w:hAnsiTheme="majorHAnsi" w:cstheme="majorHAnsi"/>
          <w:sz w:val="28"/>
          <w:szCs w:val="28"/>
        </w:rPr>
        <w:t>Managing Director</w:t>
      </w:r>
    </w:p>
    <w:p w14:paraId="57CA48F0" w14:textId="77777777" w:rsidR="008C4088" w:rsidRPr="00BE31A0" w:rsidRDefault="008C4088" w:rsidP="00BE31A0">
      <w:pPr>
        <w:pStyle w:val="ListParagraph"/>
        <w:spacing w:line="240" w:lineRule="auto"/>
        <w:ind w:left="0"/>
        <w:jc w:val="center"/>
        <w:rPr>
          <w:rFonts w:asciiTheme="majorHAnsi" w:hAnsiTheme="majorHAnsi" w:cstheme="majorHAnsi"/>
          <w:sz w:val="28"/>
          <w:szCs w:val="28"/>
        </w:rPr>
      </w:pPr>
      <w:r w:rsidRPr="00BE31A0">
        <w:rPr>
          <w:rFonts w:asciiTheme="majorHAnsi" w:hAnsiTheme="majorHAnsi" w:cstheme="majorHAnsi"/>
          <w:sz w:val="28"/>
          <w:szCs w:val="28"/>
        </w:rPr>
        <w:t>AVMetrics, LLC</w:t>
      </w:r>
    </w:p>
    <w:p w14:paraId="7CCCD59A" w14:textId="59C4230D" w:rsidR="008C4088" w:rsidRPr="00BE31A0" w:rsidRDefault="00BE31A0" w:rsidP="00BE31A0">
      <w:pPr>
        <w:pStyle w:val="Title2"/>
        <w:spacing w:line="240" w:lineRule="auto"/>
        <w:rPr>
          <w:rFonts w:asciiTheme="majorHAnsi" w:hAnsiTheme="majorHAnsi" w:cstheme="majorHAnsi"/>
          <w:sz w:val="28"/>
          <w:szCs w:val="28"/>
        </w:rPr>
      </w:pPr>
      <w:r w:rsidRPr="00BE31A0">
        <w:rPr>
          <w:rFonts w:asciiTheme="majorHAnsi" w:hAnsiTheme="majorHAnsi" w:cstheme="majorHAnsi"/>
          <w:sz w:val="28"/>
          <w:szCs w:val="28"/>
        </w:rPr>
        <w:t>https://orcid.org/0000-0002-0124-4109</w:t>
      </w:r>
    </w:p>
    <w:p w14:paraId="33EF4488" w14:textId="6905BB20" w:rsidR="00D700E9" w:rsidRPr="00BE31A0" w:rsidRDefault="00BE31A0" w:rsidP="00BE31A0">
      <w:pPr>
        <w:pStyle w:val="Title2"/>
        <w:spacing w:line="240" w:lineRule="auto"/>
        <w:rPr>
          <w:rFonts w:asciiTheme="majorHAnsi" w:hAnsiTheme="majorHAnsi" w:cstheme="majorHAnsi"/>
          <w:sz w:val="28"/>
          <w:szCs w:val="28"/>
        </w:rPr>
      </w:pPr>
      <w:r w:rsidRPr="00BE31A0">
        <w:rPr>
          <w:rFonts w:asciiTheme="majorHAnsi" w:hAnsiTheme="majorHAnsi" w:cstheme="majorHAnsi"/>
          <w:sz w:val="28"/>
          <w:szCs w:val="28"/>
        </w:rPr>
        <w:t>Lee.Kennedy@avmetrics.net</w:t>
      </w:r>
    </w:p>
    <w:p w14:paraId="67EEF946" w14:textId="0BDCA5A5" w:rsidR="00221D49" w:rsidRDefault="00C23406" w:rsidP="00C8309A">
      <w:pPr>
        <w:pStyle w:val="Title2"/>
        <w:spacing w:line="360" w:lineRule="auto"/>
        <w:rPr>
          <w:rFonts w:asciiTheme="majorHAnsi" w:hAnsiTheme="majorHAnsi" w:cstheme="majorHAnsi"/>
        </w:rPr>
      </w:pPr>
      <w:r w:rsidRPr="008C4088">
        <w:rPr>
          <w:rFonts w:asciiTheme="majorHAnsi" w:hAnsiTheme="majorHAnsi" w:cstheme="majorHAnsi"/>
        </w:rPr>
        <w:t xml:space="preserve"> </w:t>
      </w:r>
      <w:r w:rsidR="00642DB1" w:rsidRPr="008C4088">
        <w:rPr>
          <w:rFonts w:asciiTheme="majorHAnsi" w:hAnsiTheme="majorHAnsi" w:cstheme="majorHAnsi"/>
        </w:rPr>
        <w:t xml:space="preserve"> </w:t>
      </w:r>
    </w:p>
    <w:p w14:paraId="2ACB5B6C" w14:textId="77777777" w:rsidR="00BE31A0" w:rsidRPr="008C4088" w:rsidRDefault="00BE31A0" w:rsidP="00C8309A">
      <w:pPr>
        <w:pStyle w:val="Title2"/>
        <w:spacing w:line="360" w:lineRule="auto"/>
        <w:rPr>
          <w:rFonts w:asciiTheme="majorHAnsi" w:hAnsiTheme="majorHAnsi" w:cstheme="majorHAnsi"/>
        </w:rPr>
      </w:pPr>
    </w:p>
    <w:p w14:paraId="0F044523" w14:textId="77777777" w:rsidR="005A7A29" w:rsidRPr="00A278E3" w:rsidRDefault="005A7A29" w:rsidP="005A7A29">
      <w:pPr>
        <w:spacing w:line="240" w:lineRule="auto"/>
        <w:ind w:firstLine="0"/>
        <w:jc w:val="center"/>
        <w:rPr>
          <w:rFonts w:asciiTheme="majorHAnsi" w:hAnsiTheme="majorHAnsi" w:cstheme="majorHAnsi"/>
          <w:b/>
          <w:sz w:val="28"/>
          <w:szCs w:val="28"/>
        </w:rPr>
      </w:pPr>
      <w:r w:rsidRPr="00A278E3">
        <w:rPr>
          <w:rFonts w:asciiTheme="majorHAnsi" w:hAnsiTheme="majorHAnsi" w:cstheme="majorHAnsi"/>
          <w:b/>
          <w:sz w:val="28"/>
          <w:szCs w:val="28"/>
        </w:rPr>
        <w:t>Mark D. Ecker</w:t>
      </w:r>
    </w:p>
    <w:p w14:paraId="7FC46554" w14:textId="77777777" w:rsidR="00D700E9" w:rsidRPr="00215D53" w:rsidRDefault="00D700E9" w:rsidP="00D700E9">
      <w:pPr>
        <w:pStyle w:val="ListParagraph"/>
        <w:spacing w:line="240" w:lineRule="auto"/>
        <w:ind w:left="0"/>
        <w:rPr>
          <w:rFonts w:ascii="Times New Roman" w:hAnsi="Times New Roman" w:cs="Times New Roman"/>
          <w:sz w:val="28"/>
          <w:szCs w:val="28"/>
        </w:rPr>
      </w:pPr>
    </w:p>
    <w:p w14:paraId="2C705069" w14:textId="77777777" w:rsidR="00D700E9" w:rsidRPr="006720D1" w:rsidRDefault="00D700E9" w:rsidP="00D700E9">
      <w:pPr>
        <w:pStyle w:val="ListParagraph"/>
        <w:spacing w:line="240" w:lineRule="auto"/>
        <w:ind w:left="0"/>
        <w:jc w:val="center"/>
        <w:rPr>
          <w:rFonts w:ascii="Times New Roman" w:hAnsi="Times New Roman" w:cs="Times New Roman"/>
          <w:sz w:val="28"/>
          <w:szCs w:val="28"/>
        </w:rPr>
      </w:pPr>
      <w:r w:rsidRPr="006720D1">
        <w:rPr>
          <w:rFonts w:ascii="Times New Roman" w:hAnsi="Times New Roman" w:cs="Times New Roman"/>
          <w:sz w:val="28"/>
          <w:szCs w:val="28"/>
        </w:rPr>
        <w:t>Professor of Statistics</w:t>
      </w:r>
    </w:p>
    <w:p w14:paraId="6BC9A096" w14:textId="77777777" w:rsidR="00D700E9" w:rsidRPr="006720D1" w:rsidRDefault="00D700E9" w:rsidP="00D700E9">
      <w:pPr>
        <w:pStyle w:val="ListParagraph"/>
        <w:spacing w:line="240" w:lineRule="auto"/>
        <w:ind w:left="0"/>
        <w:jc w:val="center"/>
        <w:rPr>
          <w:rFonts w:ascii="Times New Roman" w:hAnsi="Times New Roman" w:cs="Times New Roman"/>
          <w:sz w:val="28"/>
          <w:szCs w:val="28"/>
        </w:rPr>
      </w:pPr>
      <w:r w:rsidRPr="006720D1">
        <w:rPr>
          <w:rFonts w:ascii="Times New Roman" w:hAnsi="Times New Roman" w:cs="Times New Roman"/>
          <w:sz w:val="28"/>
          <w:szCs w:val="28"/>
        </w:rPr>
        <w:t>Mathematics Department</w:t>
      </w:r>
    </w:p>
    <w:p w14:paraId="31228F88" w14:textId="77777777" w:rsidR="00D700E9" w:rsidRPr="006720D1" w:rsidRDefault="00D700E9" w:rsidP="00D700E9">
      <w:pPr>
        <w:pStyle w:val="ListParagraph"/>
        <w:spacing w:line="240" w:lineRule="auto"/>
        <w:ind w:left="0"/>
        <w:jc w:val="center"/>
        <w:rPr>
          <w:rFonts w:ascii="Times New Roman" w:hAnsi="Times New Roman" w:cs="Times New Roman"/>
          <w:sz w:val="28"/>
          <w:szCs w:val="28"/>
        </w:rPr>
      </w:pPr>
      <w:r w:rsidRPr="006720D1">
        <w:rPr>
          <w:rFonts w:ascii="Times New Roman" w:hAnsi="Times New Roman" w:cs="Times New Roman"/>
          <w:sz w:val="28"/>
          <w:szCs w:val="28"/>
        </w:rPr>
        <w:t>University of Northern Iowa</w:t>
      </w:r>
    </w:p>
    <w:p w14:paraId="2C0D8AAA" w14:textId="77777777" w:rsidR="00D700E9" w:rsidRPr="006720D1" w:rsidRDefault="00D700E9" w:rsidP="00D700E9">
      <w:pPr>
        <w:pStyle w:val="ListParagraph"/>
        <w:spacing w:line="240" w:lineRule="auto"/>
        <w:ind w:left="0"/>
        <w:jc w:val="center"/>
        <w:rPr>
          <w:rFonts w:ascii="Times New Roman" w:hAnsi="Times New Roman" w:cs="Times New Roman"/>
          <w:sz w:val="28"/>
          <w:szCs w:val="28"/>
        </w:rPr>
      </w:pPr>
      <w:r w:rsidRPr="006720D1">
        <w:rPr>
          <w:rFonts w:ascii="Times New Roman" w:hAnsi="Times New Roman" w:cs="Times New Roman"/>
          <w:sz w:val="28"/>
          <w:szCs w:val="28"/>
        </w:rPr>
        <w:t>http://orcid.org/0000-0003-3602-7558</w:t>
      </w:r>
    </w:p>
    <w:p w14:paraId="1E8D76A6" w14:textId="77777777" w:rsidR="00D700E9" w:rsidRPr="006720D1" w:rsidRDefault="00D700E9" w:rsidP="00D700E9">
      <w:pPr>
        <w:pStyle w:val="ListParagraph"/>
        <w:spacing w:line="240" w:lineRule="auto"/>
        <w:ind w:left="0"/>
        <w:jc w:val="center"/>
        <w:rPr>
          <w:rFonts w:ascii="Times New Roman" w:hAnsi="Times New Roman" w:cs="Times New Roman"/>
          <w:sz w:val="28"/>
          <w:szCs w:val="28"/>
        </w:rPr>
      </w:pPr>
      <w:r w:rsidRPr="006720D1">
        <w:rPr>
          <w:rFonts w:ascii="Times New Roman" w:hAnsi="Times New Roman" w:cs="Times New Roman"/>
          <w:sz w:val="28"/>
          <w:szCs w:val="28"/>
        </w:rPr>
        <w:t>mark.ecker@uni.edu</w:t>
      </w:r>
    </w:p>
    <w:p w14:paraId="411945DD" w14:textId="592B5D8B" w:rsidR="000122F8" w:rsidRPr="008C4088" w:rsidRDefault="000122F8" w:rsidP="00A81019">
      <w:pPr>
        <w:spacing w:line="240" w:lineRule="auto"/>
        <w:ind w:firstLine="0"/>
        <w:rPr>
          <w:rFonts w:asciiTheme="majorHAnsi" w:hAnsiTheme="majorHAnsi" w:cstheme="majorHAnsi"/>
        </w:rPr>
      </w:pPr>
    </w:p>
    <w:p w14:paraId="6FB08D36" w14:textId="77777777" w:rsidR="008C4088" w:rsidRPr="008C4088" w:rsidRDefault="008C4088" w:rsidP="00A81019">
      <w:pPr>
        <w:spacing w:line="240" w:lineRule="auto"/>
        <w:ind w:firstLine="0"/>
        <w:rPr>
          <w:rFonts w:asciiTheme="majorHAnsi" w:hAnsiTheme="majorHAnsi" w:cstheme="majorHAnsi"/>
        </w:rPr>
      </w:pPr>
    </w:p>
    <w:p w14:paraId="6CCE7605" w14:textId="6C4E543C" w:rsidR="006F6E96" w:rsidRPr="00A278E3" w:rsidRDefault="002D6517" w:rsidP="00BE31A0">
      <w:pPr>
        <w:spacing w:before="240" w:line="240" w:lineRule="auto"/>
        <w:ind w:firstLine="0"/>
        <w:jc w:val="center"/>
        <w:rPr>
          <w:rFonts w:asciiTheme="majorHAnsi" w:hAnsiTheme="majorHAnsi" w:cstheme="majorHAnsi"/>
          <w:b/>
          <w:sz w:val="28"/>
          <w:szCs w:val="28"/>
        </w:rPr>
      </w:pPr>
      <w:r>
        <w:rPr>
          <w:rFonts w:asciiTheme="majorHAnsi" w:hAnsiTheme="majorHAnsi" w:cstheme="majorHAnsi"/>
          <w:b/>
          <w:sz w:val="28"/>
          <w:szCs w:val="28"/>
        </w:rPr>
        <w:t xml:space="preserve">  </w:t>
      </w:r>
      <w:r w:rsidR="006F6E96" w:rsidRPr="00A278E3">
        <w:rPr>
          <w:rFonts w:asciiTheme="majorHAnsi" w:hAnsiTheme="majorHAnsi" w:cstheme="majorHAnsi"/>
          <w:b/>
          <w:sz w:val="28"/>
          <w:szCs w:val="28"/>
        </w:rPr>
        <w:t>Hans R. Isakson</w:t>
      </w:r>
    </w:p>
    <w:p w14:paraId="47929DA5" w14:textId="77777777" w:rsidR="006F6E96" w:rsidRPr="00A278E3" w:rsidRDefault="006F6E96" w:rsidP="00BE31A0">
      <w:pPr>
        <w:pStyle w:val="ListParagraph"/>
        <w:spacing w:line="240" w:lineRule="auto"/>
        <w:ind w:left="0"/>
        <w:jc w:val="center"/>
        <w:rPr>
          <w:rFonts w:asciiTheme="majorHAnsi" w:hAnsiTheme="majorHAnsi" w:cstheme="majorHAnsi"/>
          <w:sz w:val="28"/>
          <w:szCs w:val="28"/>
        </w:rPr>
      </w:pPr>
    </w:p>
    <w:p w14:paraId="44A73B28" w14:textId="77777777" w:rsidR="002D6517" w:rsidRDefault="002D6517" w:rsidP="002D6517">
      <w:pPr>
        <w:spacing w:line="240" w:lineRule="auto"/>
        <w:contextualSpacing/>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                                           </w:t>
      </w:r>
      <w:r w:rsidR="00D700E9">
        <w:rPr>
          <w:rFonts w:ascii="Times New Roman" w:eastAsia="SimSun" w:hAnsi="Times New Roman" w:cs="Times New Roman"/>
          <w:color w:val="000000"/>
          <w:sz w:val="28"/>
          <w:szCs w:val="28"/>
        </w:rPr>
        <w:t>Professor Emeritus</w:t>
      </w:r>
    </w:p>
    <w:p w14:paraId="48401C5C" w14:textId="234046D2" w:rsidR="00D700E9" w:rsidRPr="00547AF1" w:rsidRDefault="002D6517" w:rsidP="002D6517">
      <w:pPr>
        <w:spacing w:line="240" w:lineRule="auto"/>
        <w:contextualSpacing/>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                                         </w:t>
      </w:r>
      <w:r w:rsidR="00D700E9" w:rsidRPr="00547AF1">
        <w:rPr>
          <w:rFonts w:ascii="Times New Roman" w:eastAsia="SimSun" w:hAnsi="Times New Roman" w:cs="Times New Roman"/>
          <w:color w:val="000000"/>
          <w:sz w:val="28"/>
          <w:szCs w:val="28"/>
        </w:rPr>
        <w:t>Economics Department</w:t>
      </w:r>
    </w:p>
    <w:p w14:paraId="5E8CD40E" w14:textId="77777777" w:rsidR="00D700E9" w:rsidRDefault="00D700E9" w:rsidP="00BE31A0">
      <w:pPr>
        <w:spacing w:line="240" w:lineRule="auto"/>
        <w:jc w:val="center"/>
        <w:rPr>
          <w:rFonts w:ascii="Times New Roman" w:eastAsia="SimSun" w:hAnsi="Times New Roman" w:cs="Times New Roman"/>
          <w:color w:val="000000"/>
          <w:sz w:val="28"/>
          <w:szCs w:val="28"/>
        </w:rPr>
      </w:pPr>
      <w:r w:rsidRPr="00547AF1">
        <w:rPr>
          <w:rFonts w:ascii="Times New Roman" w:eastAsia="SimSun" w:hAnsi="Times New Roman" w:cs="Times New Roman"/>
          <w:color w:val="000000"/>
          <w:sz w:val="28"/>
          <w:szCs w:val="28"/>
        </w:rPr>
        <w:t>University of Northern Iow</w:t>
      </w:r>
      <w:r>
        <w:rPr>
          <w:rFonts w:ascii="Times New Roman" w:eastAsia="SimSun" w:hAnsi="Times New Roman" w:cs="Times New Roman"/>
          <w:color w:val="000000"/>
          <w:sz w:val="28"/>
          <w:szCs w:val="28"/>
        </w:rPr>
        <w:t>a</w:t>
      </w:r>
    </w:p>
    <w:p w14:paraId="5BB006BC" w14:textId="77777777" w:rsidR="00D700E9" w:rsidRDefault="00D700E9" w:rsidP="00BE31A0">
      <w:pPr>
        <w:spacing w:line="240" w:lineRule="auto"/>
        <w:jc w:val="center"/>
        <w:rPr>
          <w:rFonts w:ascii="Times New Roman" w:eastAsia="SimSun" w:hAnsi="Times New Roman" w:cs="Times New Roman"/>
          <w:color w:val="000000"/>
          <w:sz w:val="28"/>
          <w:szCs w:val="28"/>
        </w:rPr>
      </w:pPr>
      <w:r w:rsidRPr="001B69C2">
        <w:rPr>
          <w:rFonts w:ascii="Times New Roman" w:eastAsia="SimSun" w:hAnsi="Times New Roman" w:cs="Times New Roman"/>
          <w:color w:val="000000"/>
          <w:sz w:val="28"/>
          <w:szCs w:val="28"/>
        </w:rPr>
        <w:t>http://orcid.org/0000-0002-6914-2432</w:t>
      </w:r>
    </w:p>
    <w:p w14:paraId="0AFF387C" w14:textId="77777777" w:rsidR="00D700E9" w:rsidRDefault="00D700E9" w:rsidP="00BE31A0">
      <w:pPr>
        <w:spacing w:line="240" w:lineRule="auto"/>
        <w:jc w:val="center"/>
        <w:rPr>
          <w:rFonts w:ascii="Times New Roman" w:eastAsia="SimSun" w:hAnsi="Times New Roman" w:cs="Times New Roman"/>
          <w:color w:val="000000"/>
          <w:sz w:val="28"/>
          <w:szCs w:val="28"/>
        </w:rPr>
      </w:pPr>
      <w:r w:rsidRPr="006720D1">
        <w:rPr>
          <w:rFonts w:ascii="Times New Roman" w:eastAsia="SimSun" w:hAnsi="Times New Roman" w:cs="Times New Roman"/>
          <w:color w:val="000000"/>
          <w:sz w:val="28"/>
          <w:szCs w:val="28"/>
        </w:rPr>
        <w:t>hans.isakson@uni.edu</w:t>
      </w:r>
    </w:p>
    <w:p w14:paraId="26FB9F9F" w14:textId="77777777" w:rsidR="00D700E9" w:rsidRDefault="00D700E9">
      <w:pPr>
        <w:pStyle w:val="Title2"/>
        <w:rPr>
          <w:rFonts w:asciiTheme="majorHAnsi" w:hAnsiTheme="majorHAnsi" w:cstheme="majorHAnsi"/>
          <w:sz w:val="28"/>
          <w:szCs w:val="28"/>
        </w:rPr>
      </w:pPr>
    </w:p>
    <w:p w14:paraId="3944CC40" w14:textId="098E9295" w:rsidR="000122F8" w:rsidRPr="00A278E3" w:rsidRDefault="003D360D">
      <w:pPr>
        <w:pStyle w:val="Title2"/>
        <w:rPr>
          <w:rFonts w:asciiTheme="majorHAnsi" w:hAnsiTheme="majorHAnsi" w:cstheme="majorHAnsi"/>
          <w:sz w:val="28"/>
          <w:szCs w:val="28"/>
        </w:rPr>
      </w:pPr>
      <w:r>
        <w:rPr>
          <w:rFonts w:asciiTheme="majorHAnsi" w:hAnsiTheme="majorHAnsi" w:cstheme="majorHAnsi"/>
          <w:sz w:val="28"/>
          <w:szCs w:val="28"/>
        </w:rPr>
        <w:t xml:space="preserve">May </w:t>
      </w:r>
      <w:r w:rsidR="00005FF1">
        <w:rPr>
          <w:rFonts w:asciiTheme="majorHAnsi" w:hAnsiTheme="majorHAnsi" w:cstheme="majorHAnsi"/>
          <w:sz w:val="28"/>
          <w:szCs w:val="28"/>
        </w:rPr>
        <w:t>14</w:t>
      </w:r>
      <w:r w:rsidR="000122F8" w:rsidRPr="00A278E3">
        <w:rPr>
          <w:rFonts w:asciiTheme="majorHAnsi" w:hAnsiTheme="majorHAnsi" w:cstheme="majorHAnsi"/>
          <w:sz w:val="28"/>
          <w:szCs w:val="28"/>
        </w:rPr>
        <w:t>, 20</w:t>
      </w:r>
      <w:r w:rsidR="00527583">
        <w:rPr>
          <w:rFonts w:asciiTheme="majorHAnsi" w:hAnsiTheme="majorHAnsi" w:cstheme="majorHAnsi"/>
          <w:sz w:val="28"/>
          <w:szCs w:val="28"/>
        </w:rPr>
        <w:t>2</w:t>
      </w:r>
      <w:r w:rsidR="00E86BE0">
        <w:rPr>
          <w:rFonts w:asciiTheme="majorHAnsi" w:hAnsiTheme="majorHAnsi" w:cstheme="majorHAnsi"/>
          <w:sz w:val="28"/>
          <w:szCs w:val="28"/>
        </w:rPr>
        <w:t>1</w:t>
      </w:r>
      <w:r w:rsidR="00340A02">
        <w:rPr>
          <w:rFonts w:asciiTheme="majorHAnsi" w:hAnsiTheme="majorHAnsi" w:cstheme="majorHAnsi"/>
          <w:sz w:val="28"/>
          <w:szCs w:val="28"/>
        </w:rPr>
        <w:t xml:space="preserve">  </w:t>
      </w:r>
    </w:p>
    <w:p w14:paraId="23C7A2A3" w14:textId="35D5F3B3" w:rsidR="00A7789B" w:rsidRDefault="00A7789B" w:rsidP="00A81019">
      <w:pPr>
        <w:spacing w:line="240" w:lineRule="auto"/>
        <w:ind w:firstLine="0"/>
        <w:jc w:val="both"/>
      </w:pPr>
    </w:p>
    <w:p w14:paraId="6BF2ED92" w14:textId="77777777" w:rsidR="00D700E9" w:rsidRDefault="00D700E9" w:rsidP="00A81019">
      <w:pPr>
        <w:spacing w:line="240" w:lineRule="auto"/>
        <w:ind w:firstLine="0"/>
        <w:jc w:val="both"/>
      </w:pPr>
    </w:p>
    <w:p w14:paraId="5F418391" w14:textId="77777777" w:rsidR="00A7789B" w:rsidRDefault="00A7789B" w:rsidP="00A81019">
      <w:pPr>
        <w:spacing w:line="240" w:lineRule="auto"/>
        <w:ind w:firstLine="0"/>
        <w:jc w:val="both"/>
      </w:pPr>
    </w:p>
    <w:p w14:paraId="3B42B329" w14:textId="70A7A8B0" w:rsidR="00D700E9" w:rsidRDefault="00A81019" w:rsidP="00D700E9">
      <w:pPr>
        <w:spacing w:line="240" w:lineRule="auto"/>
        <w:ind w:firstLine="0"/>
        <w:jc w:val="both"/>
      </w:pPr>
      <w:r>
        <w:lastRenderedPageBreak/>
        <w:t>NOTE:  The authors have been retained as expert witnesses to assess AVMs in dozens of high-profile litigations.  Any o</w:t>
      </w:r>
      <w:r w:rsidRPr="00485B73">
        <w:t xml:space="preserve">pinions or points of view expressed </w:t>
      </w:r>
      <w:r>
        <w:t>in this study</w:t>
      </w:r>
      <w:r w:rsidRPr="00485B73">
        <w:t xml:space="preserve"> represent a consensus of the authors and do not necessarily represent the official position or policies of the </w:t>
      </w:r>
      <w:r>
        <w:t>University of Northern Iowa or AVMetrics, LLC</w:t>
      </w:r>
      <w:r w:rsidRPr="00485B73">
        <w:t xml:space="preserve">. Any products and manufacturers discussed </w:t>
      </w:r>
      <w:r>
        <w:t>in</w:t>
      </w:r>
      <w:r w:rsidRPr="00485B73">
        <w:t xml:space="preserve"> this </w:t>
      </w:r>
      <w:r w:rsidR="00465148">
        <w:t>study</w:t>
      </w:r>
      <w:r w:rsidRPr="00485B73">
        <w:t xml:space="preserve"> are presented for informational purposes only and do not constitute product approval or endorsement by the </w:t>
      </w:r>
      <w:r>
        <w:t>authors</w:t>
      </w:r>
      <w:r w:rsidRPr="00485B73">
        <w:t>.</w:t>
      </w:r>
      <w:r>
        <w:t xml:space="preserve">  </w:t>
      </w:r>
    </w:p>
    <w:p w14:paraId="6AFF56FB" w14:textId="60B8BC84" w:rsidR="00D700E9" w:rsidRDefault="00D700E9" w:rsidP="00D700E9">
      <w:pPr>
        <w:spacing w:line="240" w:lineRule="auto"/>
        <w:ind w:firstLine="0"/>
        <w:jc w:val="both"/>
      </w:pPr>
    </w:p>
    <w:p w14:paraId="2A24EBFF" w14:textId="657E5985" w:rsidR="00D700E9" w:rsidRDefault="00D700E9" w:rsidP="00D700E9">
      <w:pPr>
        <w:spacing w:line="240" w:lineRule="auto"/>
        <w:ind w:firstLine="0"/>
        <w:jc w:val="both"/>
      </w:pPr>
    </w:p>
    <w:p w14:paraId="3B3D32E3" w14:textId="77777777" w:rsidR="00D700E9" w:rsidRDefault="00D700E9" w:rsidP="00D700E9">
      <w:pPr>
        <w:spacing w:line="240" w:lineRule="auto"/>
        <w:ind w:firstLine="0"/>
        <w:jc w:val="both"/>
      </w:pPr>
    </w:p>
    <w:p w14:paraId="68049904" w14:textId="11AB389D" w:rsidR="000122F8" w:rsidRPr="00A278E3" w:rsidRDefault="00345333" w:rsidP="00D700E9">
      <w:pPr>
        <w:spacing w:line="240" w:lineRule="auto"/>
        <w:ind w:firstLine="0"/>
        <w:jc w:val="center"/>
        <w:rPr>
          <w:rFonts w:cstheme="majorHAnsi"/>
          <w:b/>
          <w:sz w:val="28"/>
          <w:szCs w:val="28"/>
        </w:rPr>
      </w:pPr>
      <w:r w:rsidRPr="00A278E3">
        <w:rPr>
          <w:rFonts w:cstheme="majorHAnsi"/>
          <w:b/>
          <w:sz w:val="28"/>
          <w:szCs w:val="28"/>
        </w:rPr>
        <w:t>Abstract</w:t>
      </w:r>
    </w:p>
    <w:p w14:paraId="7607C813" w14:textId="3AC35E6F" w:rsidR="0028776B" w:rsidRPr="0078124C" w:rsidRDefault="0078124C" w:rsidP="0028776B">
      <w:pPr>
        <w:spacing w:before="240" w:line="240" w:lineRule="auto"/>
        <w:ind w:firstLine="0"/>
        <w:jc w:val="both"/>
        <w:rPr>
          <w:rFonts w:ascii="Times New Roman" w:eastAsia="SimSun" w:hAnsi="Times New Roman" w:cs="Times New Roman"/>
          <w:color w:val="000000"/>
        </w:rPr>
      </w:pPr>
      <w:r w:rsidRPr="0078124C">
        <w:rPr>
          <w:rFonts w:ascii="Times New Roman" w:eastAsia="SimSun" w:hAnsi="Times New Roman" w:cs="Times New Roman"/>
          <w:color w:val="000000"/>
        </w:rPr>
        <w:t xml:space="preserve">Currently-used industry procedures independently test the credibility of AVM valuations, via their AVM Performance Metrics, </w:t>
      </w:r>
      <w:r w:rsidR="00667AE6">
        <w:rPr>
          <w:rFonts w:ascii="Times New Roman" w:eastAsia="SimSun" w:hAnsi="Times New Roman" w:cs="Times New Roman"/>
          <w:color w:val="000000"/>
        </w:rPr>
        <w:t>calibrated using</w:t>
      </w:r>
      <w:r w:rsidRPr="0078124C">
        <w:rPr>
          <w:rFonts w:ascii="Times New Roman" w:eastAsia="SimSun" w:hAnsi="Times New Roman" w:cs="Times New Roman"/>
          <w:color w:val="000000"/>
        </w:rPr>
        <w:t xml:space="preserve"> actual sales data.</w:t>
      </w:r>
      <w:r>
        <w:rPr>
          <w:rFonts w:ascii="Times New Roman" w:eastAsia="SimSun" w:hAnsi="Times New Roman" w:cs="Times New Roman"/>
          <w:color w:val="000000"/>
        </w:rPr>
        <w:t xml:space="preserve">  </w:t>
      </w:r>
      <w:r w:rsidR="0028776B">
        <w:rPr>
          <w:rFonts w:ascii="Times New Roman" w:hAnsi="Times New Roman" w:cs="Times New Roman"/>
        </w:rPr>
        <w:t>In particular, the</w:t>
      </w:r>
      <w:r w:rsidR="0028776B" w:rsidRPr="00644084">
        <w:rPr>
          <w:rFonts w:ascii="Times New Roman" w:hAnsi="Times New Roman" w:cs="Times New Roman"/>
        </w:rPr>
        <w:t xml:space="preserve"> vendor-reported</w:t>
      </w:r>
      <w:r w:rsidR="0028776B">
        <w:rPr>
          <w:rFonts w:ascii="Times New Roman" w:hAnsi="Times New Roman" w:cs="Times New Roman"/>
        </w:rPr>
        <w:t xml:space="preserve"> </w:t>
      </w:r>
      <w:r w:rsidRPr="00644084">
        <w:rPr>
          <w:rFonts w:ascii="Times New Roman" w:hAnsi="Times New Roman" w:cs="Times New Roman"/>
        </w:rPr>
        <w:t>Forecast Standard Deviation (“FSD”)</w:t>
      </w:r>
      <w:r w:rsidR="0028776B" w:rsidRPr="00644084">
        <w:rPr>
          <w:rFonts w:ascii="Times New Roman" w:hAnsi="Times New Roman" w:cs="Times New Roman"/>
        </w:rPr>
        <w:t xml:space="preserve">, </w:t>
      </w:r>
      <w:r w:rsidR="00114C7E">
        <w:rPr>
          <w:rFonts w:ascii="Times New Roman" w:hAnsi="Times New Roman" w:cs="Times New Roman"/>
        </w:rPr>
        <w:t>self-</w:t>
      </w:r>
      <w:r w:rsidR="003D360D">
        <w:rPr>
          <w:rFonts w:ascii="Times New Roman" w:hAnsi="Times New Roman" w:cs="Times New Roman"/>
        </w:rPr>
        <w:t>generated</w:t>
      </w:r>
      <w:r w:rsidR="0028776B" w:rsidRPr="00644084">
        <w:rPr>
          <w:rFonts w:ascii="Times New Roman" w:hAnsi="Times New Roman" w:cs="Times New Roman"/>
        </w:rPr>
        <w:t xml:space="preserve"> by an</w:t>
      </w:r>
      <w:r w:rsidR="0028776B">
        <w:rPr>
          <w:rFonts w:ascii="Times New Roman" w:hAnsi="Times New Roman" w:cs="Times New Roman"/>
        </w:rPr>
        <w:t xml:space="preserve"> AVM</w:t>
      </w:r>
      <w:r w:rsidR="0028776B" w:rsidRPr="00644084">
        <w:rPr>
          <w:rFonts w:ascii="Times New Roman" w:hAnsi="Times New Roman" w:cs="Times New Roman"/>
        </w:rPr>
        <w:t xml:space="preserve"> provider</w:t>
      </w:r>
      <w:r w:rsidR="0028776B">
        <w:rPr>
          <w:rFonts w:ascii="Times New Roman" w:hAnsi="Times New Roman" w:cs="Times New Roman"/>
        </w:rPr>
        <w:t>,</w:t>
      </w:r>
      <w:r w:rsidR="0028776B" w:rsidRPr="00644084">
        <w:rPr>
          <w:rFonts w:ascii="Times New Roman" w:hAnsi="Times New Roman" w:cs="Times New Roman"/>
        </w:rPr>
        <w:t xml:space="preserve"> together with the valuation for a target property, is empirically corroborated using 455,563 housing sales, each valued by as many as 15 AVMs in an AVM-by-FSD analysis. The AVM-by-FSD analysis reveals that AVM providers are empirically underreporting their vendor-reported</w:t>
      </w:r>
      <w:r w:rsidR="0028776B">
        <w:rPr>
          <w:rFonts w:ascii="Times New Roman" w:hAnsi="Times New Roman" w:cs="Times New Roman"/>
        </w:rPr>
        <w:t xml:space="preserve"> </w:t>
      </w:r>
      <w:r w:rsidR="0028776B" w:rsidRPr="00644084">
        <w:rPr>
          <w:rFonts w:ascii="Times New Roman" w:hAnsi="Times New Roman" w:cs="Times New Roman"/>
        </w:rPr>
        <w:t xml:space="preserve">FSDs for 267 (72.8%) of the 367 AVM/FSD combinations.  </w:t>
      </w:r>
    </w:p>
    <w:p w14:paraId="23938694" w14:textId="504BD0E6" w:rsidR="0028776B" w:rsidRPr="00644084" w:rsidRDefault="0028776B" w:rsidP="0028776B">
      <w:pPr>
        <w:spacing w:before="240" w:line="240" w:lineRule="auto"/>
        <w:ind w:firstLine="0"/>
        <w:jc w:val="both"/>
        <w:rPr>
          <w:rFonts w:ascii="Times New Roman" w:hAnsi="Times New Roman" w:cs="Times New Roman"/>
        </w:rPr>
      </w:pPr>
      <w:r w:rsidRPr="00644084">
        <w:rPr>
          <w:rFonts w:ascii="Times New Roman" w:hAnsi="Times New Roman" w:cs="Times New Roman"/>
        </w:rPr>
        <w:t>Furthermore, a composite index of any collection of AVM Performance Metrics, called the AVM Error Score (“AVM-ES”),</w:t>
      </w:r>
      <w:r w:rsidRPr="00644084">
        <w:rPr>
          <w:rFonts w:ascii="Times New Roman" w:hAnsi="Times New Roman" w:cs="Times New Roman"/>
          <w:lang w:val="en"/>
        </w:rPr>
        <w:t xml:space="preserve"> is introduced </w:t>
      </w:r>
      <w:r w:rsidR="00D6270C">
        <w:rPr>
          <w:rFonts w:ascii="Times New Roman" w:hAnsi="Times New Roman" w:cs="Times New Roman"/>
          <w:lang w:val="en"/>
        </w:rPr>
        <w:t>to compare,</w:t>
      </w:r>
      <w:r w:rsidRPr="00644084">
        <w:rPr>
          <w:rFonts w:ascii="Times New Roman" w:hAnsi="Times New Roman" w:cs="Times New Roman"/>
          <w:lang w:val="en"/>
        </w:rPr>
        <w:t xml:space="preserve"> rank and grad</w:t>
      </w:r>
      <w:r w:rsidR="00D6270C">
        <w:rPr>
          <w:rFonts w:ascii="Times New Roman" w:hAnsi="Times New Roman" w:cs="Times New Roman"/>
          <w:lang w:val="en"/>
        </w:rPr>
        <w:t>e</w:t>
      </w:r>
      <w:r w:rsidRPr="00644084">
        <w:rPr>
          <w:rFonts w:ascii="Times New Roman" w:hAnsi="Times New Roman" w:cs="Times New Roman"/>
          <w:lang w:val="en"/>
        </w:rPr>
        <w:t xml:space="preserve"> </w:t>
      </w:r>
      <w:r w:rsidR="00D6270C">
        <w:rPr>
          <w:rFonts w:ascii="Times New Roman" w:hAnsi="Times New Roman" w:cs="Times New Roman"/>
          <w:lang w:val="en"/>
        </w:rPr>
        <w:t>competing</w:t>
      </w:r>
      <w:r w:rsidRPr="00644084">
        <w:rPr>
          <w:rFonts w:ascii="Times New Roman" w:hAnsi="Times New Roman" w:cs="Times New Roman"/>
          <w:lang w:val="en"/>
        </w:rPr>
        <w:t xml:space="preserve"> AVMs, at any desired geography and sampling unit</w:t>
      </w:r>
      <w:r w:rsidRPr="00644084">
        <w:rPr>
          <w:rFonts w:ascii="Times New Roman" w:hAnsi="Times New Roman" w:cs="Times New Roman"/>
        </w:rPr>
        <w:t>.  The AVM-ES is illustrated using two sets of housing sales data. The first expands the AVM-by-FSD analysis by using eleven AVM Performance Metrics (not just the  FSD) to rank each of the 367 AVM/FSD combinations</w:t>
      </w:r>
      <w:r w:rsidR="00D6270C">
        <w:rPr>
          <w:rFonts w:ascii="Times New Roman" w:hAnsi="Times New Roman" w:cs="Times New Roman"/>
        </w:rPr>
        <w:t>. T</w:t>
      </w:r>
      <w:r w:rsidRPr="00644084">
        <w:rPr>
          <w:rFonts w:ascii="Times New Roman" w:hAnsi="Times New Roman" w:cs="Times New Roman"/>
        </w:rPr>
        <w:t xml:space="preserve">he second analysis </w:t>
      </w:r>
      <w:r w:rsidR="00D6270C">
        <w:rPr>
          <w:rFonts w:ascii="Times New Roman" w:hAnsi="Times New Roman" w:cs="Times New Roman"/>
        </w:rPr>
        <w:t>compares the performance of</w:t>
      </w:r>
      <w:r w:rsidRPr="00644084">
        <w:rPr>
          <w:rFonts w:ascii="Times New Roman" w:hAnsi="Times New Roman" w:cs="Times New Roman"/>
        </w:rPr>
        <w:t xml:space="preserve"> twelve AVMs for a common set of 1,193 sales in Clark County, Nevada using ten (mostly different) AVM Performance Metrics. </w:t>
      </w:r>
      <w:r w:rsidR="00667AE6">
        <w:rPr>
          <w:rFonts w:ascii="Times New Roman" w:hAnsi="Times New Roman" w:cs="Times New Roman"/>
        </w:rPr>
        <w:t xml:space="preserve"> </w:t>
      </w:r>
      <w:r w:rsidRPr="00644084">
        <w:rPr>
          <w:rFonts w:ascii="Times New Roman" w:hAnsi="Times New Roman" w:cs="Times New Roman"/>
        </w:rPr>
        <w:t xml:space="preserve">Lastly, given a set of AVM performance thresholds, the AVM-ES can assign a collective ordinal grade (e.g. ‘Strong’, ‘Reasonable’, ‘Acceptable but Weak’ or ‘Poorly’ performing) to classify overall AVM performance.  </w:t>
      </w:r>
    </w:p>
    <w:p w14:paraId="24F006C6" w14:textId="77777777" w:rsidR="0027652C" w:rsidRPr="00114C7E" w:rsidRDefault="0027652C" w:rsidP="008F76A4">
      <w:pPr>
        <w:spacing w:before="240" w:line="240" w:lineRule="auto"/>
        <w:ind w:firstLine="0"/>
        <w:jc w:val="both"/>
        <w:rPr>
          <w:rFonts w:asciiTheme="majorHAnsi" w:hAnsiTheme="majorHAnsi" w:cstheme="majorHAnsi"/>
          <w:b/>
          <w:bCs/>
          <w:color w:val="auto"/>
        </w:rPr>
      </w:pPr>
    </w:p>
    <w:p w14:paraId="7A913711" w14:textId="72139F72" w:rsidR="00363566" w:rsidRDefault="00345333" w:rsidP="00114C7E">
      <w:pPr>
        <w:spacing w:line="240" w:lineRule="auto"/>
        <w:ind w:firstLine="0"/>
      </w:pPr>
      <w:r w:rsidRPr="00114C7E">
        <w:rPr>
          <w:rStyle w:val="Emphasis"/>
          <w:rFonts w:asciiTheme="majorHAnsi" w:hAnsiTheme="majorHAnsi" w:cstheme="majorHAnsi"/>
          <w:b/>
          <w:bCs/>
        </w:rPr>
        <w:t>Keywords</w:t>
      </w:r>
      <w:r w:rsidR="004D4F8C" w:rsidRPr="00114C7E">
        <w:rPr>
          <w:rFonts w:asciiTheme="majorHAnsi" w:hAnsiTheme="majorHAnsi" w:cstheme="majorHAnsi"/>
          <w:b/>
          <w:bCs/>
        </w:rPr>
        <w:t>:</w:t>
      </w:r>
      <w:r w:rsidR="009B0460" w:rsidRPr="00A278E3">
        <w:rPr>
          <w:rFonts w:asciiTheme="majorHAnsi" w:hAnsiTheme="majorHAnsi" w:cstheme="majorHAnsi"/>
        </w:rPr>
        <w:t xml:space="preserve"> </w:t>
      </w:r>
      <w:r w:rsidR="00E87677">
        <w:t>Automat</w:t>
      </w:r>
      <w:r w:rsidR="008D56CD">
        <w:t>ed</w:t>
      </w:r>
      <w:r w:rsidR="00E87677">
        <w:t xml:space="preserve"> Valuation Models, </w:t>
      </w:r>
      <w:r w:rsidR="00126CC3">
        <w:t xml:space="preserve">AVM-by-FSD Analysis, </w:t>
      </w:r>
      <w:r w:rsidR="00E87677">
        <w:t>AVM Performance Metrics</w:t>
      </w:r>
      <w:r w:rsidR="001E0670">
        <w:t>,</w:t>
      </w:r>
      <w:r w:rsidR="00126CC3">
        <w:t xml:space="preserve"> </w:t>
      </w:r>
      <w:r w:rsidR="001E0670">
        <w:t>Failure</w:t>
      </w:r>
      <w:r w:rsidR="0041246C">
        <w:t xml:space="preserve"> Magnitude, </w:t>
      </w:r>
      <w:r w:rsidR="004A1235">
        <w:t xml:space="preserve">Failure MAPE, </w:t>
      </w:r>
      <w:r w:rsidR="0041246C">
        <w:t>Failure</w:t>
      </w:r>
      <w:r w:rsidR="001E0670">
        <w:t xml:space="preserve"> Rate,</w:t>
      </w:r>
      <w:r w:rsidR="00133763">
        <w:t xml:space="preserve"> </w:t>
      </w:r>
      <w:r w:rsidR="001E0670">
        <w:t xml:space="preserve">FSD, </w:t>
      </w:r>
      <w:r w:rsidR="00E87677">
        <w:t>Percent</w:t>
      </w:r>
      <w:r w:rsidR="003F4D6C">
        <w:t>age</w:t>
      </w:r>
      <w:r w:rsidR="00E87677">
        <w:t xml:space="preserve"> Sales Error</w:t>
      </w:r>
      <w:r w:rsidR="0041246C">
        <w:t>, Principal Component Analysis</w:t>
      </w:r>
    </w:p>
    <w:p w14:paraId="2FFA79F8" w14:textId="4EBA483D" w:rsidR="00363566" w:rsidRDefault="00363566" w:rsidP="00114C7E">
      <w:pPr>
        <w:spacing w:line="240" w:lineRule="auto"/>
        <w:jc w:val="both"/>
      </w:pPr>
    </w:p>
    <w:p w14:paraId="53528027" w14:textId="77777777" w:rsidR="00363566" w:rsidRDefault="00363566" w:rsidP="00363566">
      <w:pPr>
        <w:spacing w:line="276" w:lineRule="auto"/>
        <w:ind w:firstLine="0"/>
      </w:pPr>
    </w:p>
    <w:p w14:paraId="0E8735A7" w14:textId="630250DD" w:rsidR="004D6B86" w:rsidRPr="00A278E3" w:rsidRDefault="004D6B86" w:rsidP="00D02506">
      <w:pPr>
        <w:spacing w:line="276" w:lineRule="auto"/>
        <w:ind w:firstLine="0"/>
        <w:jc w:val="both"/>
        <w:rPr>
          <w:rFonts w:asciiTheme="majorHAnsi" w:hAnsiTheme="majorHAnsi" w:cstheme="majorHAnsi"/>
        </w:rPr>
      </w:pPr>
    </w:p>
    <w:p w14:paraId="252BA77A" w14:textId="082FA619" w:rsidR="00F63638" w:rsidRPr="00A278E3" w:rsidRDefault="00F63638" w:rsidP="008F76A4">
      <w:pPr>
        <w:tabs>
          <w:tab w:val="num" w:pos="720"/>
        </w:tabs>
        <w:spacing w:line="240" w:lineRule="auto"/>
        <w:ind w:firstLine="0"/>
        <w:jc w:val="both"/>
        <w:rPr>
          <w:rFonts w:asciiTheme="majorHAnsi" w:eastAsia="Calibri" w:hAnsiTheme="majorHAnsi" w:cstheme="majorHAnsi"/>
          <w:b/>
          <w:color w:val="auto"/>
          <w:sz w:val="28"/>
          <w:szCs w:val="28"/>
          <w:lang w:eastAsia="en-US"/>
        </w:rPr>
      </w:pPr>
    </w:p>
    <w:p w14:paraId="2703CC66" w14:textId="57C52B30" w:rsidR="00F63638" w:rsidRPr="00A278E3" w:rsidRDefault="00F63638" w:rsidP="008F76A4">
      <w:pPr>
        <w:tabs>
          <w:tab w:val="num" w:pos="720"/>
        </w:tabs>
        <w:spacing w:line="240" w:lineRule="auto"/>
        <w:ind w:firstLine="0"/>
        <w:jc w:val="both"/>
        <w:rPr>
          <w:rFonts w:asciiTheme="majorHAnsi" w:eastAsia="Calibri" w:hAnsiTheme="majorHAnsi" w:cstheme="majorHAnsi"/>
          <w:b/>
          <w:color w:val="auto"/>
          <w:sz w:val="28"/>
          <w:szCs w:val="28"/>
          <w:lang w:eastAsia="en-US"/>
        </w:rPr>
      </w:pPr>
    </w:p>
    <w:p w14:paraId="7CC17E7B" w14:textId="261E3DE1" w:rsidR="00F63638" w:rsidRPr="00A278E3" w:rsidRDefault="00F63638" w:rsidP="00F63638">
      <w:pPr>
        <w:tabs>
          <w:tab w:val="num" w:pos="720"/>
        </w:tabs>
        <w:spacing w:line="360" w:lineRule="auto"/>
        <w:ind w:firstLine="0"/>
        <w:jc w:val="both"/>
        <w:rPr>
          <w:rFonts w:asciiTheme="majorHAnsi" w:eastAsia="Calibri" w:hAnsiTheme="majorHAnsi" w:cstheme="majorHAnsi"/>
          <w:b/>
          <w:color w:val="auto"/>
          <w:sz w:val="28"/>
          <w:szCs w:val="28"/>
          <w:lang w:eastAsia="en-US"/>
        </w:rPr>
      </w:pPr>
    </w:p>
    <w:p w14:paraId="7138AAB1" w14:textId="25F92CDB" w:rsidR="00F63638" w:rsidRPr="00A278E3" w:rsidRDefault="00F63638" w:rsidP="00F63638">
      <w:pPr>
        <w:tabs>
          <w:tab w:val="num" w:pos="720"/>
        </w:tabs>
        <w:spacing w:line="360" w:lineRule="auto"/>
        <w:ind w:firstLine="0"/>
        <w:jc w:val="both"/>
        <w:rPr>
          <w:rFonts w:asciiTheme="majorHAnsi" w:eastAsia="Calibri" w:hAnsiTheme="majorHAnsi" w:cstheme="majorHAnsi"/>
          <w:b/>
          <w:color w:val="auto"/>
          <w:sz w:val="28"/>
          <w:szCs w:val="28"/>
          <w:lang w:eastAsia="en-US"/>
        </w:rPr>
      </w:pPr>
    </w:p>
    <w:p w14:paraId="5E80BDBF" w14:textId="77C284B9" w:rsidR="008F76A4" w:rsidRPr="00A278E3" w:rsidRDefault="008F76A4">
      <w:pPr>
        <w:rPr>
          <w:rFonts w:asciiTheme="majorHAnsi" w:eastAsia="Calibri" w:hAnsiTheme="majorHAnsi" w:cstheme="majorHAnsi"/>
          <w:b/>
          <w:color w:val="auto"/>
          <w:sz w:val="28"/>
          <w:szCs w:val="28"/>
          <w:lang w:eastAsia="en-US"/>
        </w:rPr>
      </w:pPr>
      <w:r w:rsidRPr="00A278E3">
        <w:rPr>
          <w:rFonts w:asciiTheme="majorHAnsi" w:eastAsia="Calibri" w:hAnsiTheme="majorHAnsi" w:cstheme="majorHAnsi"/>
          <w:b/>
          <w:color w:val="auto"/>
          <w:sz w:val="28"/>
          <w:szCs w:val="28"/>
          <w:lang w:eastAsia="en-US"/>
        </w:rPr>
        <w:br w:type="page"/>
      </w:r>
    </w:p>
    <w:p w14:paraId="101C71AF" w14:textId="77777777" w:rsidR="00F63638" w:rsidRPr="00A278E3" w:rsidRDefault="00F63638" w:rsidP="006B6393">
      <w:pPr>
        <w:tabs>
          <w:tab w:val="num" w:pos="720"/>
        </w:tabs>
        <w:spacing w:line="360" w:lineRule="auto"/>
        <w:ind w:firstLine="0"/>
        <w:jc w:val="both"/>
        <w:rPr>
          <w:rFonts w:asciiTheme="majorHAnsi" w:eastAsia="Calibri" w:hAnsiTheme="majorHAnsi" w:cstheme="majorHAnsi"/>
          <w:b/>
          <w:color w:val="auto"/>
          <w:sz w:val="28"/>
          <w:szCs w:val="28"/>
          <w:lang w:eastAsia="en-US"/>
        </w:rPr>
      </w:pPr>
      <w:bookmarkStart w:id="1" w:name="_Hlk12539014"/>
      <w:r w:rsidRPr="00A278E3">
        <w:rPr>
          <w:rFonts w:asciiTheme="majorHAnsi" w:eastAsia="Calibri" w:hAnsiTheme="majorHAnsi" w:cstheme="majorHAnsi"/>
          <w:b/>
          <w:color w:val="auto"/>
          <w:sz w:val="28"/>
          <w:szCs w:val="28"/>
          <w:lang w:eastAsia="en-US"/>
        </w:rPr>
        <w:lastRenderedPageBreak/>
        <w:t xml:space="preserve">1. Introduction                                                                                                         </w:t>
      </w:r>
    </w:p>
    <w:p w14:paraId="4AF43E14" w14:textId="0E6C54E1" w:rsidR="00C63DF4" w:rsidRDefault="008808ED" w:rsidP="00D516E8">
      <w:pPr>
        <w:tabs>
          <w:tab w:val="num" w:pos="720"/>
        </w:tabs>
        <w:spacing w:line="360" w:lineRule="auto"/>
        <w:ind w:firstLine="0"/>
        <w:jc w:val="both"/>
        <w:rPr>
          <w:rFonts w:ascii="Times New Roman" w:eastAsia="Calibri" w:hAnsi="Times New Roman" w:cs="Times New Roman"/>
          <w:color w:val="auto"/>
          <w:lang w:eastAsia="en-US"/>
        </w:rPr>
      </w:pPr>
      <w:r>
        <w:rPr>
          <w:rFonts w:asciiTheme="majorHAnsi" w:eastAsia="Calibri" w:hAnsiTheme="majorHAnsi" w:cstheme="majorHAnsi"/>
          <w:color w:val="auto"/>
          <w:lang w:eastAsia="en-US"/>
        </w:rPr>
        <w:t>Mortgage originators and others</w:t>
      </w:r>
      <w:r w:rsidR="00842542" w:rsidRPr="008F4226">
        <w:rPr>
          <w:rFonts w:asciiTheme="majorHAnsi" w:eastAsia="Calibri" w:hAnsiTheme="majorHAnsi" w:cstheme="majorHAnsi"/>
          <w:color w:val="auto"/>
          <w:lang w:eastAsia="en-US"/>
        </w:rPr>
        <w:t xml:space="preserve"> looking to quickly and inexpensively value a target property</w:t>
      </w:r>
      <w:r w:rsidR="00347F81">
        <w:rPr>
          <w:rStyle w:val="FootnoteReference"/>
          <w:rFonts w:asciiTheme="majorHAnsi" w:eastAsia="Calibri" w:hAnsiTheme="majorHAnsi" w:cstheme="majorHAnsi"/>
          <w:color w:val="auto"/>
          <w:lang w:eastAsia="en-US"/>
        </w:rPr>
        <w:footnoteReference w:id="1"/>
      </w:r>
      <w:r w:rsidR="00842542" w:rsidRPr="008F4226">
        <w:rPr>
          <w:rFonts w:asciiTheme="majorHAnsi" w:eastAsia="Calibri" w:hAnsiTheme="majorHAnsi" w:cstheme="majorHAnsi"/>
          <w:color w:val="auto"/>
          <w:lang w:eastAsia="en-US"/>
        </w:rPr>
        <w:t xml:space="preserve"> are increasingly turning to </w:t>
      </w:r>
      <w:r w:rsidR="00EC47CA">
        <w:rPr>
          <w:rFonts w:asciiTheme="majorHAnsi" w:eastAsia="Calibri" w:hAnsiTheme="majorHAnsi" w:cstheme="majorHAnsi"/>
          <w:color w:val="auto"/>
          <w:lang w:eastAsia="en-US"/>
        </w:rPr>
        <w:t xml:space="preserve">an </w:t>
      </w:r>
      <w:r w:rsidR="002E6E63" w:rsidRPr="008F4226">
        <w:rPr>
          <w:rFonts w:asciiTheme="majorHAnsi" w:eastAsia="Calibri" w:hAnsiTheme="majorHAnsi" w:cstheme="majorHAnsi"/>
          <w:color w:val="auto"/>
          <w:lang w:eastAsia="en-US"/>
        </w:rPr>
        <w:t>Automated Valuation Model</w:t>
      </w:r>
      <w:r w:rsidR="002E6E63" w:rsidRPr="008F4226">
        <w:rPr>
          <w:rFonts w:asciiTheme="majorHAnsi" w:hAnsiTheme="majorHAnsi" w:cstheme="majorHAnsi"/>
        </w:rPr>
        <w:t xml:space="preserve"> (“AVM”)</w:t>
      </w:r>
      <w:r w:rsidR="001702F2">
        <w:rPr>
          <w:rFonts w:asciiTheme="majorHAnsi" w:hAnsiTheme="majorHAnsi" w:cstheme="majorHAnsi"/>
        </w:rPr>
        <w:t>,</w:t>
      </w:r>
      <w:r w:rsidR="00B454BD">
        <w:rPr>
          <w:rStyle w:val="FootnoteReference"/>
          <w:rFonts w:asciiTheme="majorHAnsi" w:hAnsiTheme="majorHAnsi" w:cstheme="majorHAnsi"/>
        </w:rPr>
        <w:footnoteReference w:id="2"/>
      </w:r>
      <w:r w:rsidR="00D81777">
        <w:rPr>
          <w:rFonts w:asciiTheme="majorHAnsi" w:hAnsiTheme="majorHAnsi" w:cstheme="majorHAnsi"/>
        </w:rPr>
        <w:t xml:space="preserve"> instead of</w:t>
      </w:r>
      <w:r>
        <w:rPr>
          <w:rFonts w:asciiTheme="majorHAnsi" w:hAnsiTheme="majorHAnsi" w:cstheme="majorHAnsi"/>
        </w:rPr>
        <w:t xml:space="preserve"> </w:t>
      </w:r>
      <w:r w:rsidR="00EC47CA">
        <w:rPr>
          <w:rFonts w:asciiTheme="majorHAnsi" w:hAnsiTheme="majorHAnsi" w:cstheme="majorHAnsi"/>
        </w:rPr>
        <w:t xml:space="preserve">a </w:t>
      </w:r>
      <w:r>
        <w:rPr>
          <w:rFonts w:asciiTheme="majorHAnsi" w:hAnsiTheme="majorHAnsi" w:cstheme="majorHAnsi"/>
        </w:rPr>
        <w:t>traditional</w:t>
      </w:r>
      <w:r w:rsidR="00D81777">
        <w:rPr>
          <w:rFonts w:asciiTheme="majorHAnsi" w:hAnsiTheme="majorHAnsi" w:cstheme="majorHAnsi"/>
        </w:rPr>
        <w:t xml:space="preserve"> appraisal,</w:t>
      </w:r>
      <w:r w:rsidR="00371654" w:rsidRPr="008F4226">
        <w:rPr>
          <w:rFonts w:asciiTheme="majorHAnsi" w:hAnsiTheme="majorHAnsi" w:cstheme="majorHAnsi"/>
        </w:rPr>
        <w:t xml:space="preserve"> to </w:t>
      </w:r>
      <w:r>
        <w:rPr>
          <w:rFonts w:asciiTheme="majorHAnsi" w:hAnsiTheme="majorHAnsi" w:cstheme="majorHAnsi"/>
        </w:rPr>
        <w:t>estimate the</w:t>
      </w:r>
      <w:r w:rsidR="00C43923">
        <w:rPr>
          <w:rFonts w:asciiTheme="majorHAnsi" w:hAnsiTheme="majorHAnsi" w:cstheme="majorHAnsi"/>
        </w:rPr>
        <w:t xml:space="preserve"> property’s</w:t>
      </w:r>
      <w:r w:rsidR="00371654" w:rsidRPr="008F4226">
        <w:rPr>
          <w:rFonts w:asciiTheme="majorHAnsi" w:hAnsiTheme="majorHAnsi" w:cstheme="majorHAnsi"/>
        </w:rPr>
        <w:t xml:space="preserve"> market value</w:t>
      </w:r>
      <w:r w:rsidR="00D326F5">
        <w:rPr>
          <w:rFonts w:asciiTheme="majorHAnsi" w:hAnsiTheme="majorHAnsi" w:cstheme="majorHAnsi"/>
        </w:rPr>
        <w:t xml:space="preserve"> (</w:t>
      </w:r>
      <w:r w:rsidR="00A77C6E">
        <w:rPr>
          <w:rFonts w:asciiTheme="majorHAnsi" w:hAnsiTheme="majorHAnsi" w:cstheme="majorHAnsi"/>
        </w:rPr>
        <w:t>Ekram and Fricke</w:t>
      </w:r>
      <w:r w:rsidR="00D326F5">
        <w:rPr>
          <w:rFonts w:asciiTheme="majorHAnsi" w:hAnsiTheme="majorHAnsi" w:cstheme="majorHAnsi"/>
        </w:rPr>
        <w:t>, 2019)</w:t>
      </w:r>
      <w:r w:rsidR="00371654" w:rsidRPr="008F4226">
        <w:rPr>
          <w:rFonts w:asciiTheme="majorHAnsi" w:hAnsiTheme="majorHAnsi" w:cstheme="majorHAnsi"/>
        </w:rPr>
        <w:t>.</w:t>
      </w:r>
      <w:r w:rsidR="009E5E31">
        <w:rPr>
          <w:rFonts w:asciiTheme="majorHAnsi" w:hAnsiTheme="majorHAnsi" w:cstheme="majorHAnsi"/>
        </w:rPr>
        <w:t xml:space="preserve"> </w:t>
      </w:r>
      <w:r w:rsidR="000E4728">
        <w:rPr>
          <w:rFonts w:asciiTheme="majorHAnsi" w:hAnsiTheme="majorHAnsi" w:cstheme="majorHAnsi"/>
        </w:rPr>
        <w:t xml:space="preserve"> </w:t>
      </w:r>
      <w:r w:rsidR="00DD6E3B">
        <w:t xml:space="preserve">The growth in AVM use will most likely accelerate, given the </w:t>
      </w:r>
      <w:r w:rsidR="008809A8">
        <w:t>Federal Deposit Insurance Corporation (“FDIC”),</w:t>
      </w:r>
      <w:r w:rsidR="00DD6E3B" w:rsidRPr="00710DBE">
        <w:rPr>
          <w:rFonts w:ascii="Times New Roman" w:eastAsia="Calibri" w:hAnsi="Times New Roman" w:cs="Times New Roman"/>
          <w:color w:val="auto"/>
          <w:lang w:eastAsia="en-US"/>
        </w:rPr>
        <w:t xml:space="preserve"> the Board of Governors of the Federal Reserve System, and the </w:t>
      </w:r>
      <w:r w:rsidR="008809A8">
        <w:t xml:space="preserve">Office of the Comptroller of the Currency (“OCC”) </w:t>
      </w:r>
      <w:r w:rsidR="00DD6E3B">
        <w:rPr>
          <w:rFonts w:ascii="Times New Roman" w:eastAsia="Calibri" w:hAnsi="Times New Roman" w:cs="Times New Roman"/>
          <w:color w:val="auto"/>
          <w:lang w:eastAsia="en-US"/>
        </w:rPr>
        <w:t xml:space="preserve">joint </w:t>
      </w:r>
      <w:r w:rsidR="00DD6E3B" w:rsidRPr="00710DBE">
        <w:rPr>
          <w:rFonts w:ascii="Times New Roman" w:eastAsia="Calibri" w:hAnsi="Times New Roman" w:cs="Times New Roman"/>
          <w:color w:val="auto"/>
          <w:lang w:eastAsia="en-US"/>
        </w:rPr>
        <w:t>notice</w:t>
      </w:r>
      <w:r w:rsidR="00DD6E3B">
        <w:rPr>
          <w:rFonts w:ascii="Times New Roman" w:eastAsia="Calibri" w:hAnsi="Times New Roman" w:cs="Times New Roman"/>
          <w:color w:val="auto"/>
          <w:lang w:eastAsia="en-US"/>
        </w:rPr>
        <w:t>, on November 21, 2018</w:t>
      </w:r>
      <w:r w:rsidR="00DD6E3B" w:rsidRPr="00710DBE">
        <w:rPr>
          <w:rFonts w:ascii="Times New Roman" w:eastAsia="Calibri" w:hAnsi="Times New Roman" w:cs="Times New Roman"/>
          <w:color w:val="auto"/>
          <w:lang w:eastAsia="en-US"/>
        </w:rPr>
        <w:t xml:space="preserve"> to increase the </w:t>
      </w:r>
      <w:r w:rsidR="00DD6E3B">
        <w:t xml:space="preserve">threshold for residential real estate transactions, requiring a traditional appraisal, from $250,000 to $400,000 </w:t>
      </w:r>
      <w:r w:rsidR="00DD6E3B" w:rsidRPr="00710DBE">
        <w:rPr>
          <w:rFonts w:ascii="Times New Roman" w:eastAsia="Calibri" w:hAnsi="Times New Roman" w:cs="Times New Roman"/>
          <w:color w:val="auto"/>
          <w:lang w:eastAsia="en-US"/>
        </w:rPr>
        <w:t>(FDIC, 2018)</w:t>
      </w:r>
      <w:r w:rsidR="00D56D52">
        <w:rPr>
          <w:rFonts w:ascii="Times New Roman" w:eastAsia="Calibri" w:hAnsi="Times New Roman" w:cs="Times New Roman"/>
          <w:color w:val="auto"/>
          <w:lang w:eastAsia="en-US"/>
        </w:rPr>
        <w:t xml:space="preserve">. </w:t>
      </w:r>
    </w:p>
    <w:p w14:paraId="7254FBE1" w14:textId="42DEDCEA" w:rsidR="00F82D70" w:rsidRDefault="002012CC" w:rsidP="00F82D70">
      <w:pPr>
        <w:tabs>
          <w:tab w:val="num" w:pos="720"/>
        </w:tabs>
        <w:spacing w:before="240" w:line="360" w:lineRule="auto"/>
        <w:ind w:firstLine="0"/>
        <w:jc w:val="both"/>
      </w:pPr>
      <w:r>
        <w:rPr>
          <w:rFonts w:asciiTheme="majorHAnsi" w:hAnsiTheme="majorHAnsi" w:cstheme="majorHAnsi"/>
        </w:rPr>
        <w:t>R</w:t>
      </w:r>
      <w:r w:rsidR="008809A8">
        <w:rPr>
          <w:rFonts w:ascii="Times New Roman" w:hAnsi="Times New Roman" w:cs="Times New Roman"/>
        </w:rPr>
        <w:t>egulatory a</w:t>
      </w:r>
      <w:r w:rsidR="000E4728" w:rsidRPr="003D4B1D">
        <w:rPr>
          <w:rFonts w:ascii="Times New Roman" w:hAnsi="Times New Roman" w:cs="Times New Roman"/>
        </w:rPr>
        <w:t xml:space="preserve">gencies </w:t>
      </w:r>
      <w:r w:rsidR="00FE3BA3">
        <w:rPr>
          <w:rFonts w:ascii="Times New Roman" w:hAnsi="Times New Roman" w:cs="Times New Roman"/>
        </w:rPr>
        <w:t xml:space="preserve">currently </w:t>
      </w:r>
      <w:r w:rsidR="000E4728">
        <w:rPr>
          <w:rFonts w:ascii="Times New Roman" w:hAnsi="Times New Roman" w:cs="Times New Roman"/>
        </w:rPr>
        <w:t>require an</w:t>
      </w:r>
      <w:r w:rsidR="000E4728" w:rsidRPr="003D4B1D">
        <w:rPr>
          <w:rFonts w:ascii="Times New Roman" w:hAnsi="Times New Roman" w:cs="Times New Roman"/>
        </w:rPr>
        <w:t xml:space="preserve"> </w:t>
      </w:r>
      <w:r w:rsidR="000E4728">
        <w:rPr>
          <w:rFonts w:ascii="Times New Roman" w:hAnsi="Times New Roman" w:cs="Times New Roman"/>
        </w:rPr>
        <w:t>assessment of</w:t>
      </w:r>
      <w:r w:rsidR="000E4728" w:rsidRPr="003D4B1D">
        <w:rPr>
          <w:rFonts w:ascii="Times New Roman" w:hAnsi="Times New Roman" w:cs="Times New Roman"/>
        </w:rPr>
        <w:t xml:space="preserve"> AVM compliance with applicable federal regulations</w:t>
      </w:r>
      <w:r w:rsidR="00885072">
        <w:rPr>
          <w:rFonts w:ascii="Times New Roman" w:hAnsi="Times New Roman" w:cs="Times New Roman"/>
        </w:rPr>
        <w:t>.</w:t>
      </w:r>
      <w:r w:rsidR="00DD6E3B">
        <w:t xml:space="preserve"> </w:t>
      </w:r>
      <w:r w:rsidR="00FE3BA3">
        <w:t xml:space="preserve"> In particular,</w:t>
      </w:r>
      <w:r>
        <w:t xml:space="preserve"> </w:t>
      </w:r>
      <w:r w:rsidR="00FE3BA3" w:rsidRPr="00FE3BA3">
        <w:t>the Consumer Finance Protection Board (“CFPB”)</w:t>
      </w:r>
      <w:r w:rsidR="00FE3BA3">
        <w:t xml:space="preserve"> develops minimum standards for appraisal management companies (</w:t>
      </w:r>
      <w:r w:rsidR="00FE3BA3" w:rsidRPr="00FE3BA3">
        <w:t>together with the Board of Governors of the Federal Reserve System, the OCC, the FDIC, the National Credit Union Administration (“NCUA”), and the Federal Housing Finance Agency (“FHFA”</w:t>
      </w:r>
      <w:r w:rsidR="00D762FD">
        <w:t>)</w:t>
      </w:r>
      <w:r w:rsidR="00FE3BA3">
        <w:t>) i</w:t>
      </w:r>
      <w:r w:rsidR="00FE3BA3" w:rsidRPr="00FE3BA3">
        <w:t>n support of the Dodd-Frank Wall Street Reform and Consumer Protection Act to the Financial Institutions Reform, Recovery, and Enforcement Act (“FIRREA”</w:t>
      </w:r>
      <w:r w:rsidR="00FE3BA3">
        <w:t>).</w:t>
      </w:r>
      <w:r w:rsidR="00301C31">
        <w:t xml:space="preserve"> </w:t>
      </w:r>
      <w:r w:rsidR="00FE3BA3" w:rsidRPr="00FE3BA3">
        <w:t>See CF</w:t>
      </w:r>
      <w:r w:rsidR="00016A99">
        <w:t>P</w:t>
      </w:r>
      <w:r w:rsidR="00FE3BA3" w:rsidRPr="00FE3BA3">
        <w:t>B (2014).</w:t>
      </w:r>
      <w:r w:rsidR="00FE3BA3">
        <w:t xml:space="preserve"> </w:t>
      </w:r>
      <w:r w:rsidR="00E93B53">
        <w:t>Moreover, Govern</w:t>
      </w:r>
      <w:r w:rsidR="00465C0C" w:rsidRPr="00465C0C">
        <w:t>ment Sponsored Enterprises (”GSE”s), such as the Federal Home loan Mortgage Corporation (“Freddie Mac”)</w:t>
      </w:r>
      <w:r w:rsidR="003D5A65">
        <w:t xml:space="preserve"> </w:t>
      </w:r>
      <w:r w:rsidR="00465C0C" w:rsidRPr="00465C0C">
        <w:t xml:space="preserve">and the Federal National Mortgage Association (“Fannie Mae”) have been given the mandate by the FHFA to </w:t>
      </w:r>
      <w:r w:rsidR="00FE3BA3">
        <w:t>update</w:t>
      </w:r>
      <w:r w:rsidR="00465C0C" w:rsidRPr="00465C0C">
        <w:t xml:space="preserve"> the lending process, including the modernization of the appraisal process</w:t>
      </w:r>
      <w:r w:rsidR="00D762FD">
        <w:t xml:space="preserve"> (</w:t>
      </w:r>
      <w:r w:rsidR="00D762FD" w:rsidRPr="003067F0">
        <w:rPr>
          <w:rFonts w:asciiTheme="majorHAnsi" w:hAnsiTheme="majorHAnsi" w:cstheme="majorHAnsi"/>
          <w:lang w:val="en"/>
        </w:rPr>
        <w:t>U.S. Department of the Treasury</w:t>
      </w:r>
      <w:r w:rsidR="00D762FD">
        <w:rPr>
          <w:rFonts w:asciiTheme="majorHAnsi" w:hAnsiTheme="majorHAnsi" w:cstheme="majorHAnsi"/>
          <w:lang w:val="en"/>
        </w:rPr>
        <w:t xml:space="preserve">, </w:t>
      </w:r>
      <w:r w:rsidR="00D762FD" w:rsidRPr="003067F0">
        <w:rPr>
          <w:rFonts w:asciiTheme="majorHAnsi" w:hAnsiTheme="majorHAnsi" w:cstheme="majorHAnsi"/>
          <w:lang w:val="en"/>
        </w:rPr>
        <w:t>2018</w:t>
      </w:r>
      <w:r w:rsidR="00D762FD">
        <w:rPr>
          <w:rFonts w:asciiTheme="majorHAnsi" w:hAnsiTheme="majorHAnsi" w:cstheme="majorHAnsi"/>
          <w:lang w:val="en"/>
        </w:rPr>
        <w:t>, pp. 103-106</w:t>
      </w:r>
      <w:r w:rsidR="00D762FD">
        <w:t>)</w:t>
      </w:r>
      <w:r w:rsidR="00D762FD" w:rsidRPr="00720992">
        <w:t xml:space="preserve">. </w:t>
      </w:r>
      <w:r w:rsidR="00D762FD">
        <w:t xml:space="preserve"> </w:t>
      </w:r>
      <w:r w:rsidR="00465C0C" w:rsidRPr="00465C0C">
        <w:t xml:space="preserve">At present, </w:t>
      </w:r>
      <w:r w:rsidR="004C07C8">
        <w:t>FHFA</w:t>
      </w:r>
      <w:r w:rsidR="00465C0C" w:rsidRPr="00465C0C">
        <w:t xml:space="preserve"> is offering waivers for about 10 percent of loans being made, where no appraisal is required</w:t>
      </w:r>
      <w:r w:rsidR="002A383C">
        <w:t>,</w:t>
      </w:r>
      <w:r w:rsidR="00465C0C" w:rsidRPr="00465C0C">
        <w:t xml:space="preserve"> and report</w:t>
      </w:r>
      <w:r w:rsidR="00AB66C8">
        <w:t>s</w:t>
      </w:r>
      <w:r w:rsidR="00465C0C" w:rsidRPr="00465C0C">
        <w:t xml:space="preserve"> that that number could increase to as much as 40 percent</w:t>
      </w:r>
      <w:r w:rsidR="00D762FD">
        <w:t>.</w:t>
      </w:r>
      <w:r w:rsidR="00D762FD">
        <w:rPr>
          <w:rStyle w:val="FootnoteReference"/>
        </w:rPr>
        <w:footnoteReference w:id="3"/>
      </w:r>
      <w:r w:rsidR="00F82D70">
        <w:t xml:space="preserve">  </w:t>
      </w:r>
    </w:p>
    <w:p w14:paraId="2E08A394" w14:textId="25B9009A" w:rsidR="00F82D70" w:rsidRDefault="00F82D70" w:rsidP="00F82D70">
      <w:pPr>
        <w:tabs>
          <w:tab w:val="num" w:pos="720"/>
        </w:tabs>
        <w:spacing w:before="240" w:line="360" w:lineRule="auto"/>
        <w:ind w:firstLine="0"/>
        <w:jc w:val="both"/>
        <w:rPr>
          <w:rFonts w:ascii="Times New Roman" w:hAnsi="Times New Roman" w:cs="Times New Roman"/>
        </w:rPr>
      </w:pPr>
      <w:r>
        <w:lastRenderedPageBreak/>
        <w:t>T</w:t>
      </w:r>
      <w:r w:rsidR="008F4226" w:rsidRPr="008F4226">
        <w:rPr>
          <w:rFonts w:asciiTheme="majorHAnsi" w:hAnsiTheme="majorHAnsi" w:cstheme="majorHAnsi"/>
        </w:rPr>
        <w:t xml:space="preserve">he </w:t>
      </w:r>
      <w:r w:rsidR="008F4226" w:rsidRPr="008F4226">
        <w:rPr>
          <w:rFonts w:ascii="Times New Roman" w:hAnsi="Times New Roman" w:cs="Times New Roman"/>
        </w:rPr>
        <w:t>Interagency Appraisal and Evaluation Guidelines (2010</w:t>
      </w:r>
      <w:r w:rsidR="00A90CA5">
        <w:rPr>
          <w:rFonts w:ascii="Times New Roman" w:hAnsi="Times New Roman" w:cs="Times New Roman"/>
        </w:rPr>
        <w:t>, Appendix B</w:t>
      </w:r>
      <w:r w:rsidR="008F4226" w:rsidRPr="008F4226">
        <w:rPr>
          <w:rFonts w:ascii="Times New Roman" w:hAnsi="Times New Roman" w:cs="Times New Roman"/>
        </w:rPr>
        <w:t xml:space="preserve">) </w:t>
      </w:r>
      <w:r w:rsidR="008F4226" w:rsidRPr="008F4226">
        <w:rPr>
          <w:rFonts w:asciiTheme="majorHAnsi" w:hAnsiTheme="majorHAnsi" w:cstheme="majorHAnsi"/>
        </w:rPr>
        <w:t xml:space="preserve">require </w:t>
      </w:r>
      <w:r w:rsidR="00DF2704">
        <w:rPr>
          <w:rFonts w:asciiTheme="majorHAnsi" w:hAnsiTheme="majorHAnsi" w:cstheme="majorHAnsi"/>
        </w:rPr>
        <w:t xml:space="preserve">that </w:t>
      </w:r>
      <w:r w:rsidR="00A90CA5">
        <w:rPr>
          <w:rFonts w:asciiTheme="majorHAnsi" w:hAnsiTheme="majorHAnsi" w:cstheme="majorHAnsi"/>
        </w:rPr>
        <w:t>institutions using AVMs in lieu of standard appraisals</w:t>
      </w:r>
      <w:r w:rsidR="008F4226" w:rsidRPr="008F4226">
        <w:rPr>
          <w:rFonts w:asciiTheme="majorHAnsi" w:hAnsiTheme="majorHAnsi" w:cstheme="majorHAnsi"/>
        </w:rPr>
        <w:t xml:space="preserve"> provide </w:t>
      </w:r>
      <w:r w:rsidR="00654279">
        <w:rPr>
          <w:rFonts w:asciiTheme="majorHAnsi" w:hAnsiTheme="majorHAnsi" w:cstheme="majorHAnsi"/>
        </w:rPr>
        <w:t>clarity</w:t>
      </w:r>
      <w:r w:rsidR="008F4226" w:rsidRPr="008F4226">
        <w:rPr>
          <w:rFonts w:asciiTheme="majorHAnsi" w:hAnsiTheme="majorHAnsi" w:cstheme="majorHAnsi"/>
        </w:rPr>
        <w:t xml:space="preserve"> regarding, among other things, </w:t>
      </w:r>
      <w:r w:rsidR="009F2550">
        <w:rPr>
          <w:rFonts w:asciiTheme="majorHAnsi" w:hAnsiTheme="majorHAnsi" w:cstheme="majorHAnsi"/>
        </w:rPr>
        <w:t xml:space="preserve">AVM </w:t>
      </w:r>
      <w:r w:rsidR="00B10EBD">
        <w:rPr>
          <w:rFonts w:asciiTheme="majorHAnsi" w:hAnsiTheme="majorHAnsi" w:cstheme="majorHAnsi"/>
        </w:rPr>
        <w:t>vendor selection,</w:t>
      </w:r>
      <w:r w:rsidR="009F2550">
        <w:rPr>
          <w:rFonts w:asciiTheme="majorHAnsi" w:hAnsiTheme="majorHAnsi" w:cstheme="majorHAnsi"/>
        </w:rPr>
        <w:t xml:space="preserve"> </w:t>
      </w:r>
      <w:r w:rsidR="008F4226" w:rsidRPr="008F4226">
        <w:rPr>
          <w:rFonts w:asciiTheme="majorHAnsi" w:hAnsiTheme="majorHAnsi" w:cstheme="majorHAnsi"/>
        </w:rPr>
        <w:t>model development</w:t>
      </w:r>
      <w:r w:rsidR="00EC47CA">
        <w:rPr>
          <w:rFonts w:asciiTheme="majorHAnsi" w:hAnsiTheme="majorHAnsi" w:cstheme="majorHAnsi"/>
        </w:rPr>
        <w:t>,</w:t>
      </w:r>
      <w:r w:rsidR="00B10EBD">
        <w:rPr>
          <w:rFonts w:asciiTheme="majorHAnsi" w:hAnsiTheme="majorHAnsi" w:cstheme="majorHAnsi"/>
        </w:rPr>
        <w:t xml:space="preserve"> together </w:t>
      </w:r>
      <w:r w:rsidR="00B10EBD" w:rsidRPr="00114C7E">
        <w:rPr>
          <w:rFonts w:asciiTheme="majorHAnsi" w:hAnsiTheme="majorHAnsi" w:cstheme="majorHAnsi"/>
        </w:rPr>
        <w:t xml:space="preserve">with </w:t>
      </w:r>
      <w:r w:rsidR="000246A9" w:rsidRPr="00114C7E">
        <w:rPr>
          <w:rFonts w:asciiTheme="majorHAnsi" w:hAnsiTheme="majorHAnsi" w:cstheme="majorHAnsi"/>
          <w:i/>
          <w:iCs/>
        </w:rPr>
        <w:t xml:space="preserve">independent </w:t>
      </w:r>
      <w:r w:rsidR="00B10EBD" w:rsidRPr="00114C7E">
        <w:rPr>
          <w:rFonts w:asciiTheme="majorHAnsi" w:hAnsiTheme="majorHAnsi" w:cstheme="majorHAnsi"/>
          <w:i/>
          <w:iCs/>
        </w:rPr>
        <w:t>AVM</w:t>
      </w:r>
      <w:r w:rsidR="008F4226" w:rsidRPr="00114C7E">
        <w:rPr>
          <w:rFonts w:asciiTheme="majorHAnsi" w:hAnsiTheme="majorHAnsi" w:cstheme="majorHAnsi"/>
          <w:i/>
          <w:iCs/>
        </w:rPr>
        <w:t xml:space="preserve"> </w:t>
      </w:r>
      <w:r w:rsidR="00AB743D" w:rsidRPr="00114C7E">
        <w:rPr>
          <w:rFonts w:asciiTheme="majorHAnsi" w:hAnsiTheme="majorHAnsi" w:cstheme="majorHAnsi"/>
          <w:i/>
          <w:iCs/>
        </w:rPr>
        <w:t>t</w:t>
      </w:r>
      <w:r w:rsidR="00F450B1" w:rsidRPr="00114C7E">
        <w:rPr>
          <w:rFonts w:asciiTheme="majorHAnsi" w:hAnsiTheme="majorHAnsi" w:cstheme="majorHAnsi"/>
          <w:i/>
          <w:iCs/>
        </w:rPr>
        <w:t>est</w:t>
      </w:r>
      <w:r w:rsidR="008F4226" w:rsidRPr="00114C7E">
        <w:rPr>
          <w:rFonts w:asciiTheme="majorHAnsi" w:hAnsiTheme="majorHAnsi" w:cstheme="majorHAnsi"/>
          <w:i/>
          <w:iCs/>
        </w:rPr>
        <w:t>ing</w:t>
      </w:r>
      <w:r w:rsidR="008F4226" w:rsidRPr="008F4226">
        <w:rPr>
          <w:rFonts w:asciiTheme="majorHAnsi" w:hAnsiTheme="majorHAnsi" w:cstheme="majorHAnsi"/>
        </w:rPr>
        <w:t xml:space="preserve"> and monitoring</w:t>
      </w:r>
      <w:r w:rsidR="00052392">
        <w:rPr>
          <w:rFonts w:asciiTheme="majorHAnsi" w:hAnsiTheme="majorHAnsi" w:cstheme="majorHAnsi"/>
        </w:rPr>
        <w:t xml:space="preserve"> (</w:t>
      </w:r>
      <w:r w:rsidR="00052392">
        <w:t>Long, 2010)</w:t>
      </w:r>
      <w:r w:rsidR="00D81777">
        <w:rPr>
          <w:rFonts w:asciiTheme="majorHAnsi" w:hAnsiTheme="majorHAnsi" w:cstheme="majorHAnsi"/>
        </w:rPr>
        <w:t>.</w:t>
      </w:r>
      <w:r w:rsidR="00301C31">
        <w:rPr>
          <w:rFonts w:asciiTheme="majorHAnsi" w:hAnsiTheme="majorHAnsi" w:cstheme="majorHAnsi"/>
        </w:rPr>
        <w:t xml:space="preserve">  </w:t>
      </w:r>
      <w:r w:rsidR="008F4226" w:rsidRPr="008F4226">
        <w:t>Institutions that fail to comply with these guidelines “will be cited in supervisory letters or examination reports and may be criticized for unsafe and unsound banking practices” (</w:t>
      </w:r>
      <w:r w:rsidR="008F4226" w:rsidRPr="008F4226">
        <w:rPr>
          <w:rFonts w:ascii="Times New Roman" w:hAnsi="Times New Roman" w:cs="Times New Roman"/>
        </w:rPr>
        <w:t xml:space="preserve">Interagency Appraisal and Evaluation Guidelines, 2010, Section III). </w:t>
      </w:r>
      <w:r w:rsidR="00816119">
        <w:rPr>
          <w:rFonts w:ascii="Times New Roman" w:hAnsi="Times New Roman" w:cs="Times New Roman"/>
        </w:rPr>
        <w:t>Consequentially</w:t>
      </w:r>
      <w:r w:rsidR="00393502" w:rsidRPr="00816119">
        <w:rPr>
          <w:rFonts w:ascii="Times New Roman" w:hAnsi="Times New Roman" w:cs="Times New Roman"/>
        </w:rPr>
        <w:t xml:space="preserve">, the need </w:t>
      </w:r>
      <w:r w:rsidR="00816119">
        <w:rPr>
          <w:rFonts w:ascii="Times New Roman" w:hAnsi="Times New Roman" w:cs="Times New Roman"/>
        </w:rPr>
        <w:t>for</w:t>
      </w:r>
      <w:r w:rsidR="00D66FD6">
        <w:rPr>
          <w:rFonts w:ascii="Times New Roman" w:hAnsi="Times New Roman" w:cs="Times New Roman"/>
        </w:rPr>
        <w:t xml:space="preserve"> </w:t>
      </w:r>
      <w:r w:rsidR="0078124C">
        <w:rPr>
          <w:rFonts w:ascii="Times New Roman" w:hAnsi="Times New Roman" w:cs="Times New Roman"/>
        </w:rPr>
        <w:t xml:space="preserve">more </w:t>
      </w:r>
      <w:r w:rsidR="00816119" w:rsidRPr="00200E4F">
        <w:rPr>
          <w:rFonts w:ascii="Times New Roman" w:hAnsi="Times New Roman" w:cs="Times New Roman"/>
        </w:rPr>
        <w:t>independent</w:t>
      </w:r>
      <w:r w:rsidR="00393502" w:rsidRPr="00816119">
        <w:rPr>
          <w:rFonts w:ascii="Times New Roman" w:hAnsi="Times New Roman" w:cs="Times New Roman"/>
        </w:rPr>
        <w:t xml:space="preserve"> AVM testing </w:t>
      </w:r>
      <w:r w:rsidR="00816119">
        <w:rPr>
          <w:rFonts w:ascii="Times New Roman" w:hAnsi="Times New Roman" w:cs="Times New Roman"/>
        </w:rPr>
        <w:t>and</w:t>
      </w:r>
      <w:r w:rsidR="00D66FD6">
        <w:rPr>
          <w:rFonts w:ascii="Times New Roman" w:hAnsi="Times New Roman" w:cs="Times New Roman"/>
        </w:rPr>
        <w:t xml:space="preserve"> </w:t>
      </w:r>
      <w:r w:rsidR="00816119">
        <w:rPr>
          <w:rFonts w:ascii="Times New Roman" w:hAnsi="Times New Roman" w:cs="Times New Roman"/>
        </w:rPr>
        <w:t xml:space="preserve">better statistical tools to </w:t>
      </w:r>
      <w:r w:rsidR="00393502" w:rsidRPr="00816119">
        <w:rPr>
          <w:rFonts w:ascii="Times New Roman" w:hAnsi="Times New Roman" w:cs="Times New Roman"/>
        </w:rPr>
        <w:t>evaluat</w:t>
      </w:r>
      <w:r w:rsidR="00816119">
        <w:rPr>
          <w:rFonts w:ascii="Times New Roman" w:hAnsi="Times New Roman" w:cs="Times New Roman"/>
        </w:rPr>
        <w:t>e</w:t>
      </w:r>
      <w:r w:rsidR="00393502" w:rsidRPr="00816119">
        <w:rPr>
          <w:rFonts w:ascii="Times New Roman" w:hAnsi="Times New Roman" w:cs="Times New Roman"/>
        </w:rPr>
        <w:t xml:space="preserve"> AVM performance has never been greater</w:t>
      </w:r>
      <w:r w:rsidR="00393502" w:rsidRPr="00344824">
        <w:rPr>
          <w:rFonts w:ascii="Times New Roman" w:hAnsi="Times New Roman" w:cs="Times New Roman"/>
        </w:rPr>
        <w:t>.</w:t>
      </w:r>
      <w:r w:rsidR="005459E3" w:rsidRPr="00344824">
        <w:rPr>
          <w:rFonts w:ascii="Times New Roman" w:hAnsi="Times New Roman" w:cs="Times New Roman"/>
        </w:rPr>
        <w:t xml:space="preserve"> This study helps to fill this gap.</w:t>
      </w:r>
    </w:p>
    <w:bookmarkEnd w:id="1"/>
    <w:p w14:paraId="389F4365" w14:textId="56AF17C0" w:rsidR="00B4720E" w:rsidRDefault="00B4720E" w:rsidP="00B4720E">
      <w:pPr>
        <w:tabs>
          <w:tab w:val="num" w:pos="720"/>
        </w:tabs>
        <w:spacing w:before="240" w:line="360" w:lineRule="auto"/>
        <w:ind w:firstLine="0"/>
        <w:jc w:val="both"/>
        <w:rPr>
          <w:rFonts w:asciiTheme="majorHAnsi" w:eastAsia="Calibri" w:hAnsiTheme="majorHAnsi" w:cstheme="majorHAnsi"/>
          <w:color w:val="auto"/>
          <w:lang w:eastAsia="en-US"/>
        </w:rPr>
      </w:pPr>
      <w:r>
        <w:rPr>
          <w:rFonts w:asciiTheme="majorHAnsi" w:eastAsia="Calibri" w:hAnsiTheme="majorHAnsi" w:cstheme="majorHAnsi"/>
          <w:b/>
          <w:color w:val="auto"/>
          <w:sz w:val="28"/>
          <w:szCs w:val="28"/>
          <w:lang w:eastAsia="en-US"/>
        </w:rPr>
        <w:t xml:space="preserve">2. </w:t>
      </w:r>
      <w:r w:rsidR="00260FCC">
        <w:rPr>
          <w:rFonts w:asciiTheme="majorHAnsi" w:eastAsia="Calibri" w:hAnsiTheme="majorHAnsi" w:cstheme="majorHAnsi"/>
          <w:b/>
          <w:color w:val="auto"/>
          <w:sz w:val="28"/>
          <w:szCs w:val="28"/>
          <w:lang w:eastAsia="en-US"/>
        </w:rPr>
        <w:t xml:space="preserve">Testing and </w:t>
      </w:r>
      <w:r w:rsidR="00573AEE">
        <w:rPr>
          <w:rFonts w:asciiTheme="majorHAnsi" w:eastAsia="Calibri" w:hAnsiTheme="majorHAnsi" w:cstheme="majorHAnsi"/>
          <w:b/>
          <w:color w:val="auto"/>
          <w:sz w:val="28"/>
          <w:szCs w:val="28"/>
          <w:lang w:eastAsia="en-US"/>
        </w:rPr>
        <w:t>Evaluating</w:t>
      </w:r>
      <w:r w:rsidR="000559F0">
        <w:rPr>
          <w:rFonts w:asciiTheme="majorHAnsi" w:eastAsia="Calibri" w:hAnsiTheme="majorHAnsi" w:cstheme="majorHAnsi"/>
          <w:b/>
          <w:color w:val="auto"/>
          <w:sz w:val="28"/>
          <w:szCs w:val="28"/>
          <w:lang w:eastAsia="en-US"/>
        </w:rPr>
        <w:t xml:space="preserve"> </w:t>
      </w:r>
      <w:r w:rsidRPr="00A278E3">
        <w:rPr>
          <w:rFonts w:asciiTheme="majorHAnsi" w:eastAsia="Calibri" w:hAnsiTheme="majorHAnsi" w:cstheme="majorHAnsi"/>
          <w:b/>
          <w:color w:val="auto"/>
          <w:sz w:val="28"/>
          <w:szCs w:val="28"/>
          <w:lang w:eastAsia="en-US"/>
        </w:rPr>
        <w:t xml:space="preserve">AVM </w:t>
      </w:r>
      <w:r>
        <w:rPr>
          <w:rFonts w:asciiTheme="majorHAnsi" w:eastAsia="Calibri" w:hAnsiTheme="majorHAnsi" w:cstheme="majorHAnsi"/>
          <w:b/>
          <w:color w:val="auto"/>
          <w:sz w:val="28"/>
          <w:szCs w:val="28"/>
          <w:lang w:eastAsia="en-US"/>
        </w:rPr>
        <w:t>Performance</w:t>
      </w:r>
      <w:r w:rsidR="00573AEE">
        <w:rPr>
          <w:rFonts w:asciiTheme="majorHAnsi" w:eastAsia="Calibri" w:hAnsiTheme="majorHAnsi" w:cstheme="majorHAnsi"/>
          <w:b/>
          <w:color w:val="auto"/>
          <w:sz w:val="28"/>
          <w:szCs w:val="28"/>
          <w:lang w:eastAsia="en-US"/>
        </w:rPr>
        <w:t xml:space="preserve"> </w:t>
      </w:r>
      <w:r>
        <w:rPr>
          <w:rFonts w:asciiTheme="majorHAnsi" w:eastAsia="Calibri" w:hAnsiTheme="majorHAnsi" w:cstheme="majorHAnsi"/>
          <w:color w:val="auto"/>
          <w:lang w:eastAsia="en-US"/>
        </w:rPr>
        <w:t xml:space="preserve"> </w:t>
      </w:r>
    </w:p>
    <w:p w14:paraId="6FDC968F" w14:textId="5903E3AA" w:rsidR="00A37E43" w:rsidRPr="00260FCC" w:rsidRDefault="00465148" w:rsidP="00260FCC">
      <w:pPr>
        <w:tabs>
          <w:tab w:val="num" w:pos="720"/>
        </w:tabs>
        <w:spacing w:line="360" w:lineRule="auto"/>
        <w:ind w:firstLine="0"/>
        <w:jc w:val="both"/>
        <w:rPr>
          <w:rFonts w:asciiTheme="majorHAnsi" w:hAnsiTheme="majorHAnsi" w:cstheme="majorHAnsi"/>
        </w:rPr>
      </w:pPr>
      <w:bookmarkStart w:id="2" w:name="_Hlk60472856"/>
      <w:r w:rsidRPr="00530383">
        <w:rPr>
          <w:rFonts w:asciiTheme="majorHAnsi" w:hAnsiTheme="majorHAnsi" w:cstheme="majorHAnsi"/>
        </w:rPr>
        <w:t>C</w:t>
      </w:r>
      <w:r w:rsidR="004D33C6" w:rsidRPr="00530383">
        <w:rPr>
          <w:rFonts w:asciiTheme="majorHAnsi" w:hAnsiTheme="majorHAnsi" w:cstheme="majorHAnsi"/>
        </w:rPr>
        <w:t xml:space="preserve">urrent </w:t>
      </w:r>
      <w:r w:rsidR="007516CC" w:rsidRPr="00530383">
        <w:rPr>
          <w:rFonts w:asciiTheme="majorHAnsi" w:hAnsiTheme="majorHAnsi" w:cstheme="majorHAnsi"/>
        </w:rPr>
        <w:t xml:space="preserve">industry </w:t>
      </w:r>
      <w:r w:rsidR="00F037E2" w:rsidRPr="00530383">
        <w:rPr>
          <w:rFonts w:asciiTheme="majorHAnsi" w:hAnsiTheme="majorHAnsi" w:cstheme="majorHAnsi"/>
        </w:rPr>
        <w:t>practices</w:t>
      </w:r>
      <w:r w:rsidR="007516CC" w:rsidRPr="00530383">
        <w:rPr>
          <w:rFonts w:asciiTheme="majorHAnsi" w:hAnsiTheme="majorHAnsi" w:cstheme="majorHAnsi"/>
        </w:rPr>
        <w:t xml:space="preserve"> </w:t>
      </w:r>
      <w:r w:rsidR="00530383" w:rsidRPr="00530383">
        <w:rPr>
          <w:rFonts w:asciiTheme="majorHAnsi" w:hAnsiTheme="majorHAnsi" w:cstheme="majorHAnsi"/>
        </w:rPr>
        <w:t>to test</w:t>
      </w:r>
      <w:r w:rsidR="004D33C6" w:rsidRPr="00530383">
        <w:rPr>
          <w:rFonts w:asciiTheme="majorHAnsi" w:hAnsiTheme="majorHAnsi" w:cstheme="majorHAnsi"/>
        </w:rPr>
        <w:t xml:space="preserve"> the</w:t>
      </w:r>
      <w:r w:rsidR="00114C7E">
        <w:rPr>
          <w:rFonts w:asciiTheme="majorHAnsi" w:hAnsiTheme="majorHAnsi" w:cstheme="majorHAnsi"/>
        </w:rPr>
        <w:t xml:space="preserve"> accuracy and reliability</w:t>
      </w:r>
      <w:r w:rsidR="004D33C6" w:rsidRPr="00530383">
        <w:rPr>
          <w:rFonts w:asciiTheme="majorHAnsi" w:hAnsiTheme="majorHAnsi" w:cstheme="majorHAnsi"/>
        </w:rPr>
        <w:t xml:space="preserve"> of AVM valuations</w:t>
      </w:r>
      <w:r w:rsidR="00F037E2" w:rsidRPr="00530383">
        <w:rPr>
          <w:rFonts w:asciiTheme="majorHAnsi" w:hAnsiTheme="majorHAnsi" w:cstheme="majorHAnsi"/>
        </w:rPr>
        <w:t xml:space="preserve"> us</w:t>
      </w:r>
      <w:r w:rsidR="00530383" w:rsidRPr="00530383">
        <w:rPr>
          <w:rFonts w:asciiTheme="majorHAnsi" w:hAnsiTheme="majorHAnsi" w:cstheme="majorHAnsi"/>
        </w:rPr>
        <w:t>e</w:t>
      </w:r>
      <w:r w:rsidR="00193C28" w:rsidRPr="00530383">
        <w:rPr>
          <w:rFonts w:asciiTheme="majorHAnsi" w:hAnsiTheme="majorHAnsi" w:cstheme="majorHAnsi"/>
        </w:rPr>
        <w:t xml:space="preserve"> </w:t>
      </w:r>
      <w:r w:rsidR="004D33C6" w:rsidRPr="00530383">
        <w:rPr>
          <w:rFonts w:asciiTheme="majorHAnsi" w:hAnsiTheme="majorHAnsi" w:cstheme="majorHAnsi"/>
        </w:rPr>
        <w:t>AVM Performance Metrics</w:t>
      </w:r>
      <w:bookmarkEnd w:id="2"/>
      <w:r w:rsidR="00530383">
        <w:rPr>
          <w:rFonts w:asciiTheme="majorHAnsi" w:hAnsiTheme="majorHAnsi" w:cstheme="majorHAnsi"/>
        </w:rPr>
        <w:t>, where</w:t>
      </w:r>
      <w:r w:rsidR="00530383" w:rsidRPr="00530383">
        <w:rPr>
          <w:rFonts w:asciiTheme="majorHAnsi" w:hAnsiTheme="majorHAnsi" w:cstheme="majorHAnsi"/>
        </w:rPr>
        <w:t>, g</w:t>
      </w:r>
      <w:r w:rsidR="007516CC" w:rsidRPr="00530383">
        <w:rPr>
          <w:rFonts w:asciiTheme="majorHAnsi" w:hAnsiTheme="majorHAnsi" w:cstheme="majorHAnsi"/>
        </w:rPr>
        <w:t xml:space="preserve">iven a set of housing sales, </w:t>
      </w:r>
      <w:r w:rsidR="00667AE6">
        <w:rPr>
          <w:rFonts w:asciiTheme="majorHAnsi" w:hAnsiTheme="majorHAnsi" w:cstheme="majorHAnsi"/>
        </w:rPr>
        <w:t>these m</w:t>
      </w:r>
      <w:r w:rsidR="004D33C6" w:rsidRPr="00530383">
        <w:rPr>
          <w:rFonts w:asciiTheme="majorHAnsi" w:hAnsiTheme="majorHAnsi" w:cstheme="majorHAnsi"/>
        </w:rPr>
        <w:t xml:space="preserve">etrics </w:t>
      </w:r>
      <w:r w:rsidR="00C85BB4" w:rsidRPr="00530383">
        <w:rPr>
          <w:rFonts w:asciiTheme="majorHAnsi" w:hAnsiTheme="majorHAnsi" w:cstheme="majorHAnsi"/>
        </w:rPr>
        <w:t>assess how well</w:t>
      </w:r>
      <w:r w:rsidR="00530383">
        <w:rPr>
          <w:rFonts w:asciiTheme="majorHAnsi" w:hAnsiTheme="majorHAnsi" w:cstheme="majorHAnsi"/>
        </w:rPr>
        <w:t xml:space="preserve"> a set of</w:t>
      </w:r>
      <w:r w:rsidR="00C85BB4" w:rsidRPr="00530383">
        <w:rPr>
          <w:rFonts w:asciiTheme="majorHAnsi" w:hAnsiTheme="majorHAnsi" w:cstheme="majorHAnsi"/>
        </w:rPr>
        <w:t xml:space="preserve"> AVM valuations compare to </w:t>
      </w:r>
      <w:r w:rsidR="00530383">
        <w:rPr>
          <w:rFonts w:asciiTheme="majorHAnsi" w:hAnsiTheme="majorHAnsi" w:cstheme="majorHAnsi"/>
        </w:rPr>
        <w:t xml:space="preserve">their respective </w:t>
      </w:r>
      <w:r w:rsidR="00C85BB4" w:rsidRPr="00530383">
        <w:rPr>
          <w:rFonts w:asciiTheme="majorHAnsi" w:hAnsiTheme="majorHAnsi" w:cstheme="majorHAnsi"/>
        </w:rPr>
        <w:t>selling</w:t>
      </w:r>
      <w:r w:rsidR="00C85BB4">
        <w:rPr>
          <w:rFonts w:asciiTheme="majorHAnsi" w:hAnsiTheme="majorHAnsi" w:cstheme="majorHAnsi"/>
        </w:rPr>
        <w:t xml:space="preserve"> prices.</w:t>
      </w:r>
      <w:r w:rsidR="00C85BB4">
        <w:rPr>
          <w:rStyle w:val="FootnoteReference"/>
          <w:rFonts w:asciiTheme="majorHAnsi" w:hAnsiTheme="majorHAnsi" w:cstheme="majorHAnsi"/>
        </w:rPr>
        <w:footnoteReference w:id="4"/>
      </w:r>
      <w:r w:rsidR="00C85BB4">
        <w:rPr>
          <w:rFonts w:asciiTheme="majorHAnsi" w:hAnsiTheme="majorHAnsi" w:cstheme="majorHAnsi"/>
        </w:rPr>
        <w:t xml:space="preserve"> </w:t>
      </w:r>
      <w:r w:rsidR="00EA3C35">
        <w:rPr>
          <w:rFonts w:asciiTheme="majorHAnsi" w:hAnsiTheme="majorHAnsi" w:cstheme="majorHAnsi"/>
        </w:rPr>
        <w:t xml:space="preserve"> </w:t>
      </w:r>
      <w:r w:rsidR="009373A5">
        <w:rPr>
          <w:rFonts w:asciiTheme="majorHAnsi" w:hAnsiTheme="majorHAnsi" w:cstheme="majorHAnsi"/>
        </w:rPr>
        <w:t>AVMs typically provide the client with a</w:t>
      </w:r>
      <w:r w:rsidR="00530383">
        <w:rPr>
          <w:rFonts w:asciiTheme="majorHAnsi" w:hAnsiTheme="majorHAnsi" w:cstheme="majorHAnsi"/>
        </w:rPr>
        <w:t xml:space="preserve"> self-generated</w:t>
      </w:r>
      <w:r w:rsidR="009373A5">
        <w:rPr>
          <w:rFonts w:asciiTheme="majorHAnsi" w:hAnsiTheme="majorHAnsi" w:cstheme="majorHAnsi"/>
        </w:rPr>
        <w:t xml:space="preserve"> Forecast Standard Deviation (“FSD”), as a measure of AVM performance (henceforth written as the “vendor-reported FSD”), with each AVM valuation. </w:t>
      </w:r>
      <w:r w:rsidR="00065991">
        <w:rPr>
          <w:rFonts w:asciiTheme="majorHAnsi" w:hAnsiTheme="majorHAnsi" w:cstheme="majorHAnsi"/>
        </w:rPr>
        <w:t xml:space="preserve">However, </w:t>
      </w:r>
      <w:r w:rsidR="002B52BA">
        <w:rPr>
          <w:rFonts w:asciiTheme="majorHAnsi" w:hAnsiTheme="majorHAnsi" w:cstheme="majorHAnsi"/>
        </w:rPr>
        <w:t>CoreLogic</w:t>
      </w:r>
      <w:r w:rsidR="00065991">
        <w:rPr>
          <w:rFonts w:asciiTheme="majorHAnsi" w:hAnsiTheme="majorHAnsi" w:cstheme="majorHAnsi"/>
        </w:rPr>
        <w:t xml:space="preserve"> (2011, p. 4)</w:t>
      </w:r>
      <w:r w:rsidR="002B52BA">
        <w:rPr>
          <w:rFonts w:asciiTheme="majorHAnsi" w:hAnsiTheme="majorHAnsi" w:cstheme="majorHAnsi"/>
        </w:rPr>
        <w:t xml:space="preserve"> </w:t>
      </w:r>
      <w:r w:rsidR="00065991">
        <w:rPr>
          <w:rFonts w:asciiTheme="majorHAnsi" w:hAnsiTheme="majorHAnsi" w:cstheme="majorHAnsi"/>
        </w:rPr>
        <w:t>states</w:t>
      </w:r>
      <w:r w:rsidR="002B52BA">
        <w:rPr>
          <w:rFonts w:asciiTheme="majorHAnsi" w:hAnsiTheme="majorHAnsi" w:cstheme="majorHAnsi"/>
        </w:rPr>
        <w:t xml:space="preserve"> that </w:t>
      </w:r>
      <w:r w:rsidR="00583A09">
        <w:rPr>
          <w:rFonts w:asciiTheme="majorHAnsi" w:hAnsiTheme="majorHAnsi" w:cstheme="majorHAnsi"/>
        </w:rPr>
        <w:t xml:space="preserve">the </w:t>
      </w:r>
      <w:r w:rsidR="002B52BA">
        <w:rPr>
          <w:rFonts w:asciiTheme="majorHAnsi" w:hAnsiTheme="majorHAnsi" w:cstheme="majorHAnsi"/>
        </w:rPr>
        <w:t>AVM user “</w:t>
      </w:r>
      <w:r w:rsidR="00260FCC">
        <w:rPr>
          <w:rFonts w:asciiTheme="majorHAnsi" w:hAnsiTheme="majorHAnsi" w:cstheme="majorHAnsi"/>
        </w:rPr>
        <w:t>should not rely solely on validation representations provided by the AVM vendor</w:t>
      </w:r>
      <w:r w:rsidR="002820B6">
        <w:rPr>
          <w:rFonts w:asciiTheme="majorHAnsi" w:hAnsiTheme="majorHAnsi" w:cstheme="majorHAnsi"/>
        </w:rPr>
        <w:t>.</w:t>
      </w:r>
      <w:r w:rsidR="00260FCC">
        <w:rPr>
          <w:rFonts w:asciiTheme="majorHAnsi" w:hAnsiTheme="majorHAnsi" w:cstheme="majorHAnsi"/>
        </w:rPr>
        <w:t>”</w:t>
      </w:r>
      <w:r w:rsidR="00065991">
        <w:rPr>
          <w:rFonts w:asciiTheme="majorHAnsi" w:hAnsiTheme="majorHAnsi" w:cstheme="majorHAnsi"/>
        </w:rPr>
        <w:t xml:space="preserve"> The </w:t>
      </w:r>
      <w:r w:rsidR="00065991" w:rsidRPr="008F4226">
        <w:rPr>
          <w:rFonts w:ascii="Times New Roman" w:hAnsi="Times New Roman" w:cs="Times New Roman"/>
        </w:rPr>
        <w:t>Interagency Appraisal and Evaluation Guidelines</w:t>
      </w:r>
      <w:r w:rsidR="00065991">
        <w:rPr>
          <w:rFonts w:ascii="Times New Roman" w:hAnsi="Times New Roman" w:cs="Times New Roman"/>
        </w:rPr>
        <w:t xml:space="preserve"> (</w:t>
      </w:r>
      <w:r w:rsidR="00065991" w:rsidRPr="008F4226">
        <w:rPr>
          <w:rFonts w:ascii="Times New Roman" w:hAnsi="Times New Roman" w:cs="Times New Roman"/>
        </w:rPr>
        <w:t>2010, Section III</w:t>
      </w:r>
      <w:r w:rsidR="00065991">
        <w:rPr>
          <w:rFonts w:ascii="Times New Roman" w:hAnsi="Times New Roman" w:cs="Times New Roman"/>
        </w:rPr>
        <w:t>) suggest that institutions should evaluate whether vendor-reported AVM Performance Metrics</w:t>
      </w:r>
      <w:r w:rsidR="00114C7E">
        <w:rPr>
          <w:rFonts w:ascii="Times New Roman" w:hAnsi="Times New Roman" w:cs="Times New Roman"/>
        </w:rPr>
        <w:t xml:space="preserve"> </w:t>
      </w:r>
      <w:r w:rsidR="000227F8">
        <w:rPr>
          <w:rFonts w:asciiTheme="majorHAnsi" w:hAnsiTheme="majorHAnsi" w:cstheme="majorHAnsi"/>
        </w:rPr>
        <w:t>(e.g. a vendor-reported FSD)</w:t>
      </w:r>
      <w:r w:rsidR="00114C7E">
        <w:rPr>
          <w:rFonts w:ascii="Times New Roman" w:hAnsi="Times New Roman" w:cs="Times New Roman"/>
        </w:rPr>
        <w:t>,</w:t>
      </w:r>
      <w:r w:rsidR="00065991">
        <w:rPr>
          <w:rFonts w:ascii="Times New Roman" w:hAnsi="Times New Roman" w:cs="Times New Roman"/>
        </w:rPr>
        <w:t xml:space="preserve"> </w:t>
      </w:r>
      <w:r w:rsidR="00065991">
        <w:t>“provide an appropriate indicator of model reliability by property types and geographic locations.”</w:t>
      </w:r>
      <w:r w:rsidR="00065991">
        <w:rPr>
          <w:rFonts w:asciiTheme="majorHAnsi" w:hAnsiTheme="majorHAnsi" w:cstheme="majorHAnsi"/>
        </w:rPr>
        <w:t xml:space="preserve"> As a result, the first </w:t>
      </w:r>
      <w:r w:rsidR="00667AE6">
        <w:rPr>
          <w:rFonts w:asciiTheme="majorHAnsi" w:hAnsiTheme="majorHAnsi" w:cstheme="majorHAnsi"/>
        </w:rPr>
        <w:t>objective</w:t>
      </w:r>
      <w:r w:rsidR="00065991">
        <w:rPr>
          <w:rFonts w:asciiTheme="majorHAnsi" w:hAnsiTheme="majorHAnsi" w:cstheme="majorHAnsi"/>
        </w:rPr>
        <w:t xml:space="preserve"> of this </w:t>
      </w:r>
      <w:r>
        <w:rPr>
          <w:rFonts w:asciiTheme="majorHAnsi" w:hAnsiTheme="majorHAnsi" w:cstheme="majorHAnsi"/>
        </w:rPr>
        <w:t xml:space="preserve">study </w:t>
      </w:r>
      <w:r w:rsidR="00667AE6">
        <w:rPr>
          <w:rFonts w:asciiTheme="majorHAnsi" w:hAnsiTheme="majorHAnsi" w:cstheme="majorHAnsi"/>
        </w:rPr>
        <w:t xml:space="preserve">is to </w:t>
      </w:r>
      <w:r w:rsidR="00065991">
        <w:rPr>
          <w:rFonts w:asciiTheme="majorHAnsi" w:hAnsiTheme="majorHAnsi" w:cstheme="majorHAnsi"/>
        </w:rPr>
        <w:t xml:space="preserve">detail the currently-used, </w:t>
      </w:r>
      <w:r w:rsidR="00114C7E" w:rsidRPr="00114C7E">
        <w:rPr>
          <w:rFonts w:asciiTheme="majorHAnsi" w:hAnsiTheme="majorHAnsi" w:cstheme="majorHAnsi"/>
        </w:rPr>
        <w:t xml:space="preserve">industry </w:t>
      </w:r>
      <w:r w:rsidR="00260FCC" w:rsidRPr="00114C7E">
        <w:rPr>
          <w:rFonts w:asciiTheme="majorHAnsi" w:hAnsiTheme="majorHAnsi" w:cstheme="majorHAnsi"/>
        </w:rPr>
        <w:t>testing</w:t>
      </w:r>
      <w:r w:rsidR="00260FCC" w:rsidRPr="003D360D">
        <w:rPr>
          <w:rFonts w:asciiTheme="majorHAnsi" w:hAnsiTheme="majorHAnsi" w:cstheme="majorHAnsi"/>
          <w:i/>
          <w:iCs/>
        </w:rPr>
        <w:t xml:space="preserve"> </w:t>
      </w:r>
      <w:r w:rsidR="00667AE6">
        <w:rPr>
          <w:rFonts w:asciiTheme="majorHAnsi" w:hAnsiTheme="majorHAnsi" w:cstheme="majorHAnsi"/>
        </w:rPr>
        <w:t xml:space="preserve">of AVM valuations, by </w:t>
      </w:r>
      <w:r w:rsidR="00114C7E">
        <w:rPr>
          <w:rFonts w:asciiTheme="majorHAnsi" w:hAnsiTheme="majorHAnsi" w:cstheme="majorHAnsi"/>
        </w:rPr>
        <w:t xml:space="preserve">independent third-parties, to </w:t>
      </w:r>
      <w:r w:rsidR="00667AE6">
        <w:rPr>
          <w:rFonts w:asciiTheme="majorHAnsi" w:hAnsiTheme="majorHAnsi" w:cstheme="majorHAnsi"/>
        </w:rPr>
        <w:t>corroborat</w:t>
      </w:r>
      <w:r w:rsidR="00114C7E">
        <w:rPr>
          <w:rFonts w:asciiTheme="majorHAnsi" w:hAnsiTheme="majorHAnsi" w:cstheme="majorHAnsi"/>
        </w:rPr>
        <w:t>e</w:t>
      </w:r>
      <w:r w:rsidR="00667AE6">
        <w:rPr>
          <w:rFonts w:asciiTheme="majorHAnsi" w:hAnsiTheme="majorHAnsi" w:cstheme="majorHAnsi"/>
        </w:rPr>
        <w:t xml:space="preserve"> </w:t>
      </w:r>
      <w:r w:rsidR="00260FCC">
        <w:rPr>
          <w:rFonts w:asciiTheme="majorHAnsi" w:hAnsiTheme="majorHAnsi" w:cstheme="majorHAnsi"/>
        </w:rPr>
        <w:t>vendor-reported FSD</w:t>
      </w:r>
      <w:r w:rsidR="002C5A99">
        <w:rPr>
          <w:rFonts w:asciiTheme="majorHAnsi" w:hAnsiTheme="majorHAnsi" w:cstheme="majorHAnsi"/>
        </w:rPr>
        <w:t>s</w:t>
      </w:r>
      <w:r w:rsidR="00260FCC">
        <w:rPr>
          <w:rFonts w:asciiTheme="majorHAnsi" w:hAnsiTheme="majorHAnsi" w:cstheme="majorHAnsi"/>
        </w:rPr>
        <w:t xml:space="preserve">.  </w:t>
      </w:r>
      <w:r w:rsidR="00065991">
        <w:rPr>
          <w:rFonts w:asciiTheme="majorHAnsi" w:hAnsiTheme="majorHAnsi" w:cstheme="majorHAnsi"/>
        </w:rPr>
        <w:t xml:space="preserve"> </w:t>
      </w:r>
    </w:p>
    <w:p w14:paraId="3550BDB2" w14:textId="17765547" w:rsidR="00260FCC" w:rsidRDefault="00052392" w:rsidP="00260FCC">
      <w:pPr>
        <w:tabs>
          <w:tab w:val="num" w:pos="720"/>
        </w:tabs>
        <w:spacing w:before="240" w:line="360" w:lineRule="auto"/>
        <w:ind w:firstLine="0"/>
        <w:jc w:val="both"/>
        <w:rPr>
          <w:rFonts w:asciiTheme="majorHAnsi" w:hAnsiTheme="majorHAnsi" w:cstheme="majorHAnsi"/>
        </w:rPr>
      </w:pPr>
      <w:r>
        <w:t>CoreLogic (2011, p. 12) states that</w:t>
      </w:r>
      <w:r w:rsidR="00260FCC">
        <w:rPr>
          <w:rFonts w:asciiTheme="majorHAnsi" w:hAnsiTheme="majorHAnsi" w:cstheme="majorHAnsi"/>
        </w:rPr>
        <w:t xml:space="preserve"> “[e]ach vendor should be able to comment on their model’s [AVM’s] performance relative to their competitors”</w:t>
      </w:r>
      <w:r w:rsidR="002C5A99">
        <w:rPr>
          <w:rFonts w:asciiTheme="majorHAnsi" w:hAnsiTheme="majorHAnsi" w:cstheme="majorHAnsi"/>
        </w:rPr>
        <w:t xml:space="preserve">. </w:t>
      </w:r>
      <w:r>
        <w:rPr>
          <w:rFonts w:asciiTheme="majorHAnsi" w:hAnsiTheme="majorHAnsi" w:cstheme="majorHAnsi"/>
        </w:rPr>
        <w:t xml:space="preserve"> </w:t>
      </w:r>
      <w:r w:rsidR="00114C7E">
        <w:rPr>
          <w:rFonts w:asciiTheme="majorHAnsi" w:hAnsiTheme="majorHAnsi" w:cstheme="majorHAnsi"/>
        </w:rPr>
        <w:t>R</w:t>
      </w:r>
      <w:r w:rsidR="00260FCC">
        <w:rPr>
          <w:rFonts w:asciiTheme="majorHAnsi" w:hAnsiTheme="majorHAnsi" w:cstheme="majorHAnsi"/>
        </w:rPr>
        <w:t>egardless of the business use of any AVM (</w:t>
      </w:r>
      <w:r w:rsidR="00260FCC" w:rsidRPr="008271A2">
        <w:rPr>
          <w:rFonts w:asciiTheme="majorHAnsi" w:hAnsiTheme="majorHAnsi" w:cstheme="majorHAnsi"/>
        </w:rPr>
        <w:t>e.g.</w:t>
      </w:r>
      <w:r w:rsidR="00260FCC">
        <w:rPr>
          <w:rFonts w:asciiTheme="majorHAnsi" w:hAnsiTheme="majorHAnsi" w:cstheme="majorHAnsi"/>
        </w:rPr>
        <w:t xml:space="preserve">, portfolio management, portfolio marketing, mortgage underwriting, appraisal review), the client may ultimately have a collection of AVM reports, each with its own set of </w:t>
      </w:r>
      <w:r w:rsidR="00260FCC" w:rsidRPr="006B73ED">
        <w:rPr>
          <w:rFonts w:asciiTheme="majorHAnsi" w:hAnsiTheme="majorHAnsi" w:cstheme="majorHAnsi"/>
        </w:rPr>
        <w:t>AVM Performance Metrics</w:t>
      </w:r>
      <w:r w:rsidR="00260FCC">
        <w:rPr>
          <w:rFonts w:asciiTheme="majorHAnsi" w:hAnsiTheme="majorHAnsi" w:cstheme="majorHAnsi"/>
        </w:rPr>
        <w:t xml:space="preserve"> and be faced with making a comparative assessment of AVMs</w:t>
      </w:r>
      <w:r w:rsidR="00D614AB">
        <w:rPr>
          <w:rFonts w:asciiTheme="majorHAnsi" w:hAnsiTheme="majorHAnsi" w:cstheme="majorHAnsi"/>
        </w:rPr>
        <w:t>,</w:t>
      </w:r>
      <w:r w:rsidR="00260FCC">
        <w:rPr>
          <w:rFonts w:asciiTheme="majorHAnsi" w:hAnsiTheme="majorHAnsi" w:cstheme="majorHAnsi"/>
        </w:rPr>
        <w:t xml:space="preserve"> to decide </w:t>
      </w:r>
      <w:r w:rsidR="00260FCC">
        <w:rPr>
          <w:rFonts w:asciiTheme="majorHAnsi" w:hAnsiTheme="majorHAnsi" w:cstheme="majorHAnsi"/>
        </w:rPr>
        <w:lastRenderedPageBreak/>
        <w:t xml:space="preserve">which AVM valuation best reflects the target property’s market value. </w:t>
      </w:r>
      <w:r w:rsidR="003E538D">
        <w:rPr>
          <w:rFonts w:asciiTheme="majorHAnsi" w:hAnsiTheme="majorHAnsi" w:cstheme="majorHAnsi"/>
        </w:rPr>
        <w:t xml:space="preserve"> </w:t>
      </w:r>
      <w:r w:rsidR="002C5A99">
        <w:rPr>
          <w:rFonts w:asciiTheme="majorHAnsi" w:hAnsiTheme="majorHAnsi" w:cstheme="majorHAnsi"/>
        </w:rPr>
        <w:t>However,</w:t>
      </w:r>
      <w:r>
        <w:rPr>
          <w:rFonts w:asciiTheme="majorHAnsi" w:hAnsiTheme="majorHAnsi" w:cstheme="majorHAnsi"/>
        </w:rPr>
        <w:t xml:space="preserve"> </w:t>
      </w:r>
      <w:r w:rsidR="002C5A99">
        <w:rPr>
          <w:rFonts w:asciiTheme="majorHAnsi" w:hAnsiTheme="majorHAnsi" w:cstheme="majorHAnsi"/>
        </w:rPr>
        <w:t xml:space="preserve"> </w:t>
      </w:r>
      <w:r>
        <w:t xml:space="preserve">Gaylor, </w:t>
      </w:r>
      <w:r w:rsidRPr="002C5A99">
        <w:rPr>
          <w:i/>
          <w:iCs/>
        </w:rPr>
        <w:t>et al</w:t>
      </w:r>
      <w:r>
        <w:t>. (2015, p. 3)</w:t>
      </w:r>
      <w:r>
        <w:rPr>
          <w:rFonts w:asciiTheme="majorHAnsi" w:hAnsiTheme="majorHAnsi" w:cstheme="majorHAnsi"/>
        </w:rPr>
        <w:t xml:space="preserve"> state that </w:t>
      </w:r>
      <w:r w:rsidR="002C5A99">
        <w:rPr>
          <w:rFonts w:asciiTheme="majorHAnsi" w:hAnsiTheme="majorHAnsi" w:cstheme="majorHAnsi"/>
        </w:rPr>
        <w:t>“</w:t>
      </w:r>
      <w:r w:rsidR="002C5A99" w:rsidRPr="00FE28E5">
        <w:rPr>
          <w:rFonts w:asciiTheme="majorHAnsi" w:hAnsiTheme="majorHAnsi" w:cstheme="majorHAnsi"/>
        </w:rPr>
        <w:t>it is not an easy matter to reliably measure relative performance between AVMs</w:t>
      </w:r>
      <w:r w:rsidR="002820B6">
        <w:rPr>
          <w:rFonts w:asciiTheme="majorHAnsi" w:hAnsiTheme="majorHAnsi" w:cstheme="majorHAnsi"/>
        </w:rPr>
        <w:t>.</w:t>
      </w:r>
      <w:r w:rsidR="002C5A99">
        <w:rPr>
          <w:rFonts w:asciiTheme="majorHAnsi" w:hAnsiTheme="majorHAnsi" w:cstheme="majorHAnsi"/>
        </w:rPr>
        <w:t>”</w:t>
      </w:r>
      <w:r w:rsidR="002C5A99">
        <w:rPr>
          <w:rStyle w:val="FootnoteReference"/>
          <w:rFonts w:asciiTheme="majorHAnsi" w:hAnsiTheme="majorHAnsi" w:cstheme="majorHAnsi"/>
        </w:rPr>
        <w:footnoteReference w:id="5"/>
      </w:r>
      <w:r w:rsidR="002820B6">
        <w:rPr>
          <w:rFonts w:asciiTheme="majorHAnsi" w:hAnsiTheme="majorHAnsi" w:cstheme="majorHAnsi"/>
        </w:rPr>
        <w:t xml:space="preserve">  </w:t>
      </w:r>
      <w:r w:rsidR="003E538D" w:rsidRPr="003E538D">
        <w:rPr>
          <w:rFonts w:asciiTheme="majorHAnsi" w:hAnsiTheme="majorHAnsi" w:cstheme="majorHAnsi"/>
        </w:rPr>
        <w:t xml:space="preserve">As a result, </w:t>
      </w:r>
      <w:r w:rsidR="00B92C9D">
        <w:rPr>
          <w:rFonts w:asciiTheme="majorHAnsi" w:hAnsiTheme="majorHAnsi" w:cstheme="majorHAnsi"/>
        </w:rPr>
        <w:t>the</w:t>
      </w:r>
      <w:r w:rsidR="003E538D" w:rsidRPr="003E538D">
        <w:rPr>
          <w:rFonts w:asciiTheme="majorHAnsi" w:hAnsiTheme="majorHAnsi" w:cstheme="majorHAnsi"/>
        </w:rPr>
        <w:t xml:space="preserve"> second </w:t>
      </w:r>
      <w:r w:rsidR="00667AE6">
        <w:rPr>
          <w:rFonts w:asciiTheme="majorHAnsi" w:hAnsiTheme="majorHAnsi" w:cstheme="majorHAnsi"/>
        </w:rPr>
        <w:t>objective</w:t>
      </w:r>
      <w:r w:rsidR="003E538D" w:rsidRPr="003E538D">
        <w:rPr>
          <w:rFonts w:asciiTheme="majorHAnsi" w:hAnsiTheme="majorHAnsi" w:cstheme="majorHAnsi"/>
        </w:rPr>
        <w:t xml:space="preserve"> of this </w:t>
      </w:r>
      <w:r w:rsidR="00465148">
        <w:rPr>
          <w:rFonts w:asciiTheme="majorHAnsi" w:hAnsiTheme="majorHAnsi" w:cstheme="majorHAnsi"/>
        </w:rPr>
        <w:t>study</w:t>
      </w:r>
      <w:r w:rsidR="000227F8">
        <w:rPr>
          <w:rFonts w:asciiTheme="majorHAnsi" w:hAnsiTheme="majorHAnsi" w:cstheme="majorHAnsi"/>
        </w:rPr>
        <w:t xml:space="preserve"> is to introduce statistical tools to c</w:t>
      </w:r>
      <w:r w:rsidR="003E538D" w:rsidRPr="009373A5">
        <w:rPr>
          <w:rFonts w:asciiTheme="majorHAnsi" w:hAnsiTheme="majorHAnsi" w:cstheme="majorHAnsi"/>
        </w:rPr>
        <w:t>ompare, rank and grade the performance of multiple competing AVMs, via AVM Performance Metrics.</w:t>
      </w:r>
      <w:r w:rsidR="003E538D">
        <w:rPr>
          <w:rFonts w:asciiTheme="majorHAnsi" w:hAnsiTheme="majorHAnsi" w:cstheme="majorHAnsi"/>
        </w:rPr>
        <w:t xml:space="preserve">  </w:t>
      </w:r>
    </w:p>
    <w:p w14:paraId="1BCB8044" w14:textId="3FF657B6" w:rsidR="00573AEE" w:rsidRPr="000E2F23" w:rsidRDefault="00573AEE" w:rsidP="00A37E43">
      <w:pPr>
        <w:tabs>
          <w:tab w:val="num" w:pos="720"/>
        </w:tabs>
        <w:spacing w:before="240" w:line="360" w:lineRule="auto"/>
        <w:ind w:firstLine="0"/>
        <w:jc w:val="both"/>
        <w:rPr>
          <w:rFonts w:asciiTheme="majorHAnsi" w:hAnsiTheme="majorHAnsi" w:cstheme="majorHAnsi"/>
          <w:b/>
          <w:bCs/>
        </w:rPr>
      </w:pPr>
      <w:r>
        <w:rPr>
          <w:rFonts w:cstheme="majorHAnsi"/>
          <w:b/>
          <w:bCs/>
          <w:sz w:val="28"/>
          <w:szCs w:val="28"/>
        </w:rPr>
        <w:tab/>
        <w:t>2</w:t>
      </w:r>
      <w:r w:rsidRPr="000E2F23">
        <w:rPr>
          <w:rFonts w:cstheme="majorHAnsi"/>
          <w:b/>
          <w:bCs/>
          <w:sz w:val="28"/>
          <w:szCs w:val="28"/>
        </w:rPr>
        <w:t xml:space="preserve">a. </w:t>
      </w:r>
      <w:r>
        <w:rPr>
          <w:rFonts w:cstheme="majorHAnsi"/>
          <w:b/>
          <w:bCs/>
          <w:sz w:val="28"/>
          <w:szCs w:val="28"/>
        </w:rPr>
        <w:t>Independent Third-Party AVM Testing</w:t>
      </w:r>
    </w:p>
    <w:p w14:paraId="4870EA00" w14:textId="37CD1CD1" w:rsidR="00573AEE" w:rsidRPr="00F87A53" w:rsidRDefault="00573AEE" w:rsidP="00260FCC">
      <w:pPr>
        <w:tabs>
          <w:tab w:val="num" w:pos="720"/>
        </w:tabs>
        <w:spacing w:line="360" w:lineRule="auto"/>
        <w:ind w:firstLine="0"/>
        <w:jc w:val="both"/>
        <w:rPr>
          <w:rFonts w:asciiTheme="majorHAnsi" w:hAnsiTheme="majorHAnsi" w:cstheme="majorHAnsi"/>
        </w:rPr>
      </w:pPr>
      <w:r>
        <w:rPr>
          <w:rFonts w:asciiTheme="majorHAnsi" w:hAnsiTheme="majorHAnsi" w:cstheme="majorHAnsi"/>
        </w:rPr>
        <w:t>Unfortunately, the</w:t>
      </w:r>
      <w:r w:rsidR="008E5CEE">
        <w:rPr>
          <w:rFonts w:asciiTheme="majorHAnsi" w:hAnsiTheme="majorHAnsi" w:cstheme="majorHAnsi"/>
        </w:rPr>
        <w:t xml:space="preserve"> user of an AVM</w:t>
      </w:r>
      <w:r>
        <w:rPr>
          <w:rFonts w:asciiTheme="majorHAnsi" w:hAnsiTheme="majorHAnsi" w:cstheme="majorHAnsi"/>
        </w:rPr>
        <w:t xml:space="preserve"> cannot discern the accuracy of any AVM valuation without additional information regarding the AVM’s performance. Although AVM providers offer such information to their clients in the form of AVM Performance Metrics (e.g. a vendor-reported FSD), this information may or may not be accurate. As a result, third parties</w:t>
      </w:r>
      <w:r w:rsidR="00D66FD6">
        <w:rPr>
          <w:rFonts w:asciiTheme="majorHAnsi" w:hAnsiTheme="majorHAnsi" w:cstheme="majorHAnsi"/>
        </w:rPr>
        <w:t xml:space="preserve"> (apart from AVM provider</w:t>
      </w:r>
      <w:r w:rsidR="007008EA">
        <w:rPr>
          <w:rFonts w:asciiTheme="majorHAnsi" w:hAnsiTheme="majorHAnsi" w:cstheme="majorHAnsi"/>
        </w:rPr>
        <w:t>s</w:t>
      </w:r>
      <w:r w:rsidR="00D66FD6">
        <w:rPr>
          <w:rFonts w:asciiTheme="majorHAnsi" w:hAnsiTheme="majorHAnsi" w:cstheme="majorHAnsi"/>
        </w:rPr>
        <w:t xml:space="preserve"> and client</w:t>
      </w:r>
      <w:r w:rsidR="007008EA">
        <w:rPr>
          <w:rFonts w:asciiTheme="majorHAnsi" w:hAnsiTheme="majorHAnsi" w:cstheme="majorHAnsi"/>
        </w:rPr>
        <w:t>s</w:t>
      </w:r>
      <w:r w:rsidR="00D66FD6">
        <w:rPr>
          <w:rFonts w:asciiTheme="majorHAnsi" w:hAnsiTheme="majorHAnsi" w:cstheme="majorHAnsi"/>
        </w:rPr>
        <w:t>)</w:t>
      </w:r>
      <w:r>
        <w:rPr>
          <w:rFonts w:asciiTheme="majorHAnsi" w:hAnsiTheme="majorHAnsi" w:cstheme="majorHAnsi"/>
        </w:rPr>
        <w:t>, such as AVMetrics,</w:t>
      </w:r>
      <w:r w:rsidR="009B6AB4">
        <w:rPr>
          <w:rFonts w:asciiTheme="majorHAnsi" w:hAnsiTheme="majorHAnsi" w:cstheme="majorHAnsi"/>
        </w:rPr>
        <w:t xml:space="preserve"> regularly</w:t>
      </w:r>
      <w:r>
        <w:rPr>
          <w:rFonts w:asciiTheme="majorHAnsi" w:hAnsiTheme="majorHAnsi" w:cstheme="majorHAnsi"/>
        </w:rPr>
        <w:t xml:space="preserve"> perform</w:t>
      </w:r>
      <w:r w:rsidRPr="00E620F9">
        <w:rPr>
          <w:rFonts w:asciiTheme="majorHAnsi" w:hAnsiTheme="majorHAnsi" w:cstheme="majorHAnsi"/>
        </w:rPr>
        <w:t xml:space="preserve"> </w:t>
      </w:r>
      <w:r w:rsidR="00D66FD6" w:rsidRPr="00D66FD6">
        <w:rPr>
          <w:rFonts w:asciiTheme="majorHAnsi" w:hAnsiTheme="majorHAnsi" w:cstheme="majorHAnsi"/>
          <w:i/>
          <w:iCs/>
        </w:rPr>
        <w:t>independent</w:t>
      </w:r>
      <w:r w:rsidR="00D66FD6">
        <w:rPr>
          <w:rFonts w:asciiTheme="majorHAnsi" w:hAnsiTheme="majorHAnsi" w:cstheme="majorHAnsi"/>
        </w:rPr>
        <w:t xml:space="preserve"> </w:t>
      </w:r>
      <w:r w:rsidRPr="009B6AB4">
        <w:rPr>
          <w:rFonts w:asciiTheme="majorHAnsi" w:hAnsiTheme="majorHAnsi" w:cstheme="majorHAnsi"/>
          <w:i/>
          <w:iCs/>
        </w:rPr>
        <w:t>AVM testing</w:t>
      </w:r>
      <w:r>
        <w:rPr>
          <w:rFonts w:asciiTheme="majorHAnsi" w:hAnsiTheme="majorHAnsi" w:cstheme="majorHAnsi"/>
        </w:rPr>
        <w:t xml:space="preserve"> to evaluate </w:t>
      </w:r>
      <w:r w:rsidRPr="00E620F9">
        <w:rPr>
          <w:rFonts w:asciiTheme="majorHAnsi" w:hAnsiTheme="majorHAnsi" w:cstheme="majorHAnsi"/>
        </w:rPr>
        <w:t xml:space="preserve">the accuracy of </w:t>
      </w:r>
      <w:r>
        <w:rPr>
          <w:rFonts w:asciiTheme="majorHAnsi" w:hAnsiTheme="majorHAnsi" w:cstheme="majorHAnsi"/>
        </w:rPr>
        <w:t>the</w:t>
      </w:r>
      <w:r w:rsidRPr="00E620F9">
        <w:rPr>
          <w:rFonts w:asciiTheme="majorHAnsi" w:hAnsiTheme="majorHAnsi" w:cstheme="majorHAnsi"/>
        </w:rPr>
        <w:t xml:space="preserve"> </w:t>
      </w:r>
      <w:r>
        <w:rPr>
          <w:rFonts w:asciiTheme="majorHAnsi" w:hAnsiTheme="majorHAnsi" w:cstheme="majorHAnsi"/>
        </w:rPr>
        <w:t>AVM’s valuations,</w:t>
      </w:r>
      <w:r w:rsidRPr="00E66726">
        <w:rPr>
          <w:rFonts w:asciiTheme="majorHAnsi" w:hAnsiTheme="majorHAnsi" w:cstheme="majorHAnsi"/>
        </w:rPr>
        <w:t xml:space="preserve"> </w:t>
      </w:r>
      <w:r>
        <w:rPr>
          <w:rFonts w:asciiTheme="majorHAnsi" w:hAnsiTheme="majorHAnsi" w:cstheme="majorHAnsi"/>
        </w:rPr>
        <w:t>against known selling prices,</w:t>
      </w:r>
      <w:r w:rsidRPr="00E620F9">
        <w:rPr>
          <w:rFonts w:asciiTheme="majorHAnsi" w:hAnsiTheme="majorHAnsi" w:cstheme="majorHAnsi"/>
        </w:rPr>
        <w:t xml:space="preserve"> for </w:t>
      </w:r>
      <w:r w:rsidR="009B6AB4">
        <w:rPr>
          <w:rFonts w:asciiTheme="majorHAnsi" w:hAnsiTheme="majorHAnsi" w:cstheme="majorHAnsi"/>
        </w:rPr>
        <w:t>hundreds of thousands of</w:t>
      </w:r>
      <w:r>
        <w:rPr>
          <w:rFonts w:asciiTheme="majorHAnsi" w:hAnsiTheme="majorHAnsi" w:cstheme="majorHAnsi"/>
        </w:rPr>
        <w:t xml:space="preserve"> </w:t>
      </w:r>
      <w:r w:rsidRPr="00E620F9">
        <w:rPr>
          <w:rFonts w:asciiTheme="majorHAnsi" w:hAnsiTheme="majorHAnsi" w:cstheme="majorHAnsi"/>
        </w:rPr>
        <w:t>target propert</w:t>
      </w:r>
      <w:r>
        <w:rPr>
          <w:rFonts w:asciiTheme="majorHAnsi" w:hAnsiTheme="majorHAnsi" w:cstheme="majorHAnsi"/>
        </w:rPr>
        <w:t>ies</w:t>
      </w:r>
      <w:r w:rsidR="009761A8">
        <w:rPr>
          <w:rFonts w:asciiTheme="majorHAnsi" w:hAnsiTheme="majorHAnsi" w:cstheme="majorHAnsi"/>
        </w:rPr>
        <w:t xml:space="preserve"> in multiple markets</w:t>
      </w:r>
      <w:r>
        <w:rPr>
          <w:rFonts w:asciiTheme="majorHAnsi" w:hAnsiTheme="majorHAnsi" w:cstheme="majorHAnsi"/>
        </w:rPr>
        <w:t xml:space="preserve">. </w:t>
      </w:r>
    </w:p>
    <w:p w14:paraId="2ECDE55B" w14:textId="121DD280" w:rsidR="00573AEE" w:rsidRDefault="00573AEE" w:rsidP="00573AEE">
      <w:pPr>
        <w:tabs>
          <w:tab w:val="num" w:pos="720"/>
        </w:tabs>
        <w:spacing w:before="240" w:line="360" w:lineRule="auto"/>
        <w:ind w:firstLine="0"/>
        <w:jc w:val="both"/>
        <w:rPr>
          <w:rFonts w:asciiTheme="majorHAnsi" w:hAnsiTheme="majorHAnsi" w:cstheme="majorHAnsi"/>
        </w:rPr>
      </w:pPr>
      <w:r>
        <w:rPr>
          <w:rFonts w:asciiTheme="majorHAnsi" w:hAnsiTheme="majorHAnsi" w:cstheme="majorHAnsi"/>
        </w:rPr>
        <w:t xml:space="preserve">AVM testing requires the choice of a sampling unit to perform model validation for any desired market segment.  Most generally, one may partition housing sales to allow model testing and evaluation between or amongst different: i) types of properties/structures (e.g., residential single-family houses, planned unit developments (“PUDs”), attached condominiums); ii) housing price tiers (e.g., inexpensive, moderately priced, expensive houses); iii) geography (e.g., zip code, city, Federal Information Processing Standards (“FIPS”), Core Based Statistical Area (“CBSA”), Metropolitan Statistical Area (“MSA”), county, state, national); iv) vendor-reported FSD values and v) model demographics, such as by AVM vendor or by type of AVM (e.g., hedonic regression, appraisal emulation).  For example, one might compare, rank and grade competing AVMs when i) valuing expensive custom-built houses in Maricopa County, Arizona or ii) using all appraisal emulation models to value detached single-family residential properties in California or iii) valuing all properties, nationwide, with a common vendor-reported FSD.  </w:t>
      </w:r>
    </w:p>
    <w:p w14:paraId="2BE4A85B" w14:textId="56AC8B24" w:rsidR="00573AEE" w:rsidRDefault="00573AEE" w:rsidP="00573AEE">
      <w:pPr>
        <w:tabs>
          <w:tab w:val="num" w:pos="720"/>
        </w:tabs>
        <w:spacing w:before="240" w:line="360" w:lineRule="auto"/>
        <w:ind w:firstLine="0"/>
        <w:jc w:val="both"/>
      </w:pPr>
      <w:r>
        <w:t>To draw meaningful comparisons from AVM testing, a continuous stream of high-quality housing sales data is needed</w:t>
      </w:r>
      <w:r w:rsidR="00052392">
        <w:t xml:space="preserve"> (Allen, 2009)</w:t>
      </w:r>
      <w:r w:rsidR="002F7D38">
        <w:t xml:space="preserve">. </w:t>
      </w:r>
      <w:r>
        <w:t xml:space="preserve">AVM testing first evaluates the quality of the data needed for </w:t>
      </w:r>
      <w:r>
        <w:lastRenderedPageBreak/>
        <w:t>the validation process,</w:t>
      </w:r>
      <w:r w:rsidRPr="00E36E3C">
        <w:t xml:space="preserve"> </w:t>
      </w:r>
      <w:r>
        <w:t>“including the data sources and types, frequency of updates, quality control performed on the data, and the sources of the data in states where public real estate sales data are not disclosed.”</w:t>
      </w:r>
      <w:r w:rsidR="002F7D38">
        <w:rPr>
          <w:rStyle w:val="FootnoteReference"/>
        </w:rPr>
        <w:footnoteReference w:id="6"/>
      </w:r>
      <w:r>
        <w:t xml:space="preserve"> </w:t>
      </w:r>
      <w:r w:rsidRPr="008F4226">
        <w:rPr>
          <w:rFonts w:ascii="Times New Roman" w:hAnsi="Times New Roman" w:cs="Times New Roman"/>
        </w:rPr>
        <w:t xml:space="preserve"> </w:t>
      </w:r>
      <w:r>
        <w:rPr>
          <w:rFonts w:ascii="Times New Roman" w:hAnsi="Times New Roman" w:cs="Times New Roman"/>
        </w:rPr>
        <w:t>CoreLogic reports that they internally value 90 million residential properties on a rolling basis using each of their AVMs resulting in over 1 billion property valuations per month.</w:t>
      </w:r>
      <w:r w:rsidR="002F7D38">
        <w:rPr>
          <w:rStyle w:val="FootnoteReference"/>
          <w:rFonts w:ascii="Times New Roman" w:hAnsi="Times New Roman" w:cs="Times New Roman"/>
        </w:rPr>
        <w:footnoteReference w:id="7"/>
      </w:r>
      <w:r>
        <w:t xml:space="preserve">  However, </w:t>
      </w:r>
      <w:r w:rsidR="00A73C56">
        <w:rPr>
          <w:rFonts w:asciiTheme="majorHAnsi" w:hAnsiTheme="majorHAnsi" w:cstheme="majorHAnsi"/>
        </w:rPr>
        <w:t xml:space="preserve">CoreLogic (2011, p. 4.) </w:t>
      </w:r>
      <w:r>
        <w:rPr>
          <w:rFonts w:asciiTheme="majorHAnsi" w:hAnsiTheme="majorHAnsi" w:cstheme="majorHAnsi"/>
        </w:rPr>
        <w:t>also states that “[i]nstitutions must gather information on the performance of AVMs from someone other than the vendor”, i.e. independent, third parties.</w:t>
      </w:r>
      <w:r w:rsidR="00B92C9D">
        <w:rPr>
          <w:rFonts w:asciiTheme="majorHAnsi" w:hAnsiTheme="majorHAnsi" w:cstheme="majorHAnsi"/>
        </w:rPr>
        <w:t xml:space="preserve">  These third-parties (e.g. AVMetrics) provide AVM </w:t>
      </w:r>
      <w:r w:rsidR="00034BAF">
        <w:rPr>
          <w:rFonts w:asciiTheme="majorHAnsi" w:hAnsiTheme="majorHAnsi" w:cstheme="majorHAnsi"/>
        </w:rPr>
        <w:t>vendors</w:t>
      </w:r>
      <w:r w:rsidR="00B92C9D">
        <w:rPr>
          <w:rFonts w:asciiTheme="majorHAnsi" w:hAnsiTheme="majorHAnsi" w:cstheme="majorHAnsi"/>
        </w:rPr>
        <w:t xml:space="preserve"> with a set of properties</w:t>
      </w:r>
      <w:r w:rsidR="002F7D38">
        <w:rPr>
          <w:rFonts w:asciiTheme="majorHAnsi" w:hAnsiTheme="majorHAnsi" w:cstheme="majorHAnsi"/>
        </w:rPr>
        <w:t xml:space="preserve"> whose locations </w:t>
      </w:r>
      <w:r w:rsidR="00440BC6">
        <w:rPr>
          <w:rFonts w:asciiTheme="majorHAnsi" w:hAnsiTheme="majorHAnsi" w:cstheme="majorHAnsi"/>
        </w:rPr>
        <w:t>(</w:t>
      </w:r>
      <w:r w:rsidR="002F7D38">
        <w:rPr>
          <w:rFonts w:asciiTheme="majorHAnsi" w:hAnsiTheme="majorHAnsi" w:cstheme="majorHAnsi"/>
        </w:rPr>
        <w:t>but not</w:t>
      </w:r>
      <w:r w:rsidR="00440BC6">
        <w:rPr>
          <w:rFonts w:asciiTheme="majorHAnsi" w:hAnsiTheme="majorHAnsi" w:cstheme="majorHAnsi"/>
        </w:rPr>
        <w:t xml:space="preserve"> their</w:t>
      </w:r>
      <w:r w:rsidR="002F7D38">
        <w:rPr>
          <w:rFonts w:asciiTheme="majorHAnsi" w:hAnsiTheme="majorHAnsi" w:cstheme="majorHAnsi"/>
        </w:rPr>
        <w:t xml:space="preserve"> selling prices</w:t>
      </w:r>
      <w:r w:rsidR="00440BC6">
        <w:rPr>
          <w:rFonts w:asciiTheme="majorHAnsi" w:hAnsiTheme="majorHAnsi" w:cstheme="majorHAnsi"/>
        </w:rPr>
        <w:t>)</w:t>
      </w:r>
      <w:r w:rsidR="002F7D38">
        <w:rPr>
          <w:rFonts w:asciiTheme="majorHAnsi" w:hAnsiTheme="majorHAnsi" w:cstheme="majorHAnsi"/>
        </w:rPr>
        <w:t xml:space="preserve"> are disclosed to the vendors</w:t>
      </w:r>
      <w:r w:rsidR="00B92C9D">
        <w:rPr>
          <w:rFonts w:asciiTheme="majorHAnsi" w:hAnsiTheme="majorHAnsi" w:cstheme="majorHAnsi"/>
        </w:rPr>
        <w:t>. The AVM then values each property and returns its AVM</w:t>
      </w:r>
      <w:r w:rsidR="00034BAF">
        <w:rPr>
          <w:rFonts w:asciiTheme="majorHAnsi" w:hAnsiTheme="majorHAnsi" w:cstheme="majorHAnsi"/>
        </w:rPr>
        <w:t xml:space="preserve"> </w:t>
      </w:r>
      <w:r w:rsidR="00B92C9D">
        <w:rPr>
          <w:rFonts w:asciiTheme="majorHAnsi" w:hAnsiTheme="majorHAnsi" w:cstheme="majorHAnsi"/>
        </w:rPr>
        <w:t>valuation, together with a vendor-reported FSD, to the third-party.</w:t>
      </w:r>
    </w:p>
    <w:p w14:paraId="21F22C56" w14:textId="5A1BF501" w:rsidR="00F97CC6" w:rsidRDefault="00573AEE" w:rsidP="00F97CC6">
      <w:pPr>
        <w:tabs>
          <w:tab w:val="num" w:pos="720"/>
        </w:tabs>
        <w:spacing w:before="240" w:line="360" w:lineRule="auto"/>
        <w:ind w:firstLine="0"/>
        <w:jc w:val="both"/>
        <w:rPr>
          <w:rFonts w:asciiTheme="majorHAnsi" w:hAnsiTheme="majorHAnsi" w:cstheme="majorHAnsi"/>
        </w:rPr>
      </w:pPr>
      <w:r>
        <w:rPr>
          <w:rFonts w:cstheme="minorHAnsi"/>
        </w:rPr>
        <w:t xml:space="preserve">Comprehensive </w:t>
      </w:r>
      <w:r w:rsidRPr="006041C7">
        <w:rPr>
          <w:rFonts w:cstheme="minorHAnsi"/>
        </w:rPr>
        <w:t xml:space="preserve">AVM testing </w:t>
      </w:r>
      <w:r>
        <w:rPr>
          <w:rFonts w:cstheme="minorHAnsi"/>
        </w:rPr>
        <w:t>by an independent third</w:t>
      </w:r>
      <w:r w:rsidR="003E40E7">
        <w:rPr>
          <w:rFonts w:cstheme="minorHAnsi"/>
        </w:rPr>
        <w:t>-</w:t>
      </w:r>
      <w:r>
        <w:rPr>
          <w:rFonts w:cstheme="minorHAnsi"/>
        </w:rPr>
        <w:t xml:space="preserve">party </w:t>
      </w:r>
      <w:r w:rsidR="00347F81">
        <w:rPr>
          <w:rFonts w:cstheme="minorHAnsi"/>
        </w:rPr>
        <w:t>employs</w:t>
      </w:r>
      <w:r w:rsidRPr="006041C7">
        <w:rPr>
          <w:rFonts w:cstheme="minorHAnsi"/>
        </w:rPr>
        <w:t xml:space="preserve"> hundreds of thousands</w:t>
      </w:r>
      <w:r w:rsidR="00F97CC6">
        <w:rPr>
          <w:rFonts w:cstheme="minorHAnsi"/>
        </w:rPr>
        <w:t xml:space="preserve"> </w:t>
      </w:r>
      <w:r w:rsidRPr="006041C7">
        <w:rPr>
          <w:rFonts w:cstheme="minorHAnsi"/>
        </w:rPr>
        <w:t xml:space="preserve">of housing transactions, to </w:t>
      </w:r>
      <w:r w:rsidR="00440BC6">
        <w:rPr>
          <w:rFonts w:cstheme="minorHAnsi"/>
        </w:rPr>
        <w:t xml:space="preserve">regularly </w:t>
      </w:r>
      <w:r w:rsidRPr="006041C7">
        <w:rPr>
          <w:rFonts w:cstheme="minorHAnsi"/>
        </w:rPr>
        <w:t>blind test the performance (accuracy and geographic coverage) of almost every commercially available AVM</w:t>
      </w:r>
      <w:r w:rsidR="001735C0">
        <w:rPr>
          <w:rFonts w:cstheme="minorHAnsi"/>
        </w:rPr>
        <w:t>.</w:t>
      </w:r>
      <w:r w:rsidR="00FA4850">
        <w:rPr>
          <w:rStyle w:val="FootnoteReference"/>
          <w:rFonts w:cstheme="minorHAnsi"/>
        </w:rPr>
        <w:footnoteReference w:id="8"/>
      </w:r>
      <w:r>
        <w:rPr>
          <w:rFonts w:cstheme="minorHAnsi"/>
        </w:rPr>
        <w:t xml:space="preserve"> </w:t>
      </w:r>
      <w:r w:rsidR="00A73C56">
        <w:rPr>
          <w:rFonts w:cstheme="minorHAnsi"/>
        </w:rPr>
        <w:t xml:space="preserve"> </w:t>
      </w:r>
      <w:r w:rsidR="00C3178B">
        <w:rPr>
          <w:rFonts w:cstheme="minorHAnsi"/>
        </w:rPr>
        <w:t>To illustrate</w:t>
      </w:r>
      <w:r>
        <w:rPr>
          <w:rFonts w:cstheme="minorHAnsi"/>
        </w:rPr>
        <w:t xml:space="preserve">, </w:t>
      </w:r>
      <w:r w:rsidRPr="00B327E2">
        <w:rPr>
          <w:rFonts w:asciiTheme="majorHAnsi" w:hAnsiTheme="majorHAnsi" w:cstheme="majorHAnsi"/>
        </w:rPr>
        <w:t>AVMetrics delivers housing sales</w:t>
      </w:r>
      <w:r>
        <w:rPr>
          <w:rFonts w:asciiTheme="majorHAnsi" w:hAnsiTheme="majorHAnsi" w:cstheme="majorHAnsi"/>
        </w:rPr>
        <w:t xml:space="preserve"> </w:t>
      </w:r>
      <w:r w:rsidRPr="00B327E2">
        <w:rPr>
          <w:rFonts w:asciiTheme="majorHAnsi" w:hAnsiTheme="majorHAnsi" w:cstheme="majorHAnsi"/>
        </w:rPr>
        <w:t xml:space="preserve">to AVM </w:t>
      </w:r>
      <w:r w:rsidR="008D660D">
        <w:rPr>
          <w:rFonts w:asciiTheme="majorHAnsi" w:hAnsiTheme="majorHAnsi" w:cstheme="majorHAnsi"/>
        </w:rPr>
        <w:t>providers</w:t>
      </w:r>
      <w:r w:rsidRPr="00B327E2">
        <w:rPr>
          <w:rFonts w:asciiTheme="majorHAnsi" w:hAnsiTheme="majorHAnsi" w:cstheme="majorHAnsi"/>
        </w:rPr>
        <w:t xml:space="preserve"> bi-weekly</w:t>
      </w:r>
      <w:r w:rsidR="008D660D">
        <w:rPr>
          <w:rFonts w:asciiTheme="majorHAnsi" w:hAnsiTheme="majorHAnsi" w:cstheme="majorHAnsi"/>
        </w:rPr>
        <w:t xml:space="preserve"> to test the accuracy of the vendors’ AVMs</w:t>
      </w:r>
      <w:r w:rsidRPr="00B327E2">
        <w:rPr>
          <w:rFonts w:asciiTheme="majorHAnsi" w:hAnsiTheme="majorHAnsi" w:cstheme="majorHAnsi"/>
        </w:rPr>
        <w:t xml:space="preserve">. </w:t>
      </w:r>
      <w:r w:rsidR="008D660D">
        <w:rPr>
          <w:rFonts w:asciiTheme="majorHAnsi" w:hAnsiTheme="majorHAnsi" w:cstheme="majorHAnsi"/>
        </w:rPr>
        <w:t xml:space="preserve"> </w:t>
      </w:r>
      <w:r>
        <w:rPr>
          <w:rFonts w:asciiTheme="majorHAnsi" w:hAnsiTheme="majorHAnsi" w:cstheme="majorHAnsi"/>
        </w:rPr>
        <w:t xml:space="preserve">These AVM testing sales consist of </w:t>
      </w:r>
      <w:r w:rsidRPr="00B327E2">
        <w:rPr>
          <w:rFonts w:asciiTheme="majorHAnsi" w:hAnsiTheme="majorHAnsi" w:cstheme="majorHAnsi"/>
        </w:rPr>
        <w:t>target propert</w:t>
      </w:r>
      <w:r>
        <w:rPr>
          <w:rFonts w:asciiTheme="majorHAnsi" w:hAnsiTheme="majorHAnsi" w:cstheme="majorHAnsi"/>
        </w:rPr>
        <w:t>ies</w:t>
      </w:r>
      <w:r w:rsidRPr="00B327E2">
        <w:rPr>
          <w:rFonts w:asciiTheme="majorHAnsi" w:hAnsiTheme="majorHAnsi" w:cstheme="majorHAnsi"/>
        </w:rPr>
        <w:t xml:space="preserve"> that ha</w:t>
      </w:r>
      <w:r>
        <w:rPr>
          <w:rFonts w:asciiTheme="majorHAnsi" w:hAnsiTheme="majorHAnsi" w:cstheme="majorHAnsi"/>
        </w:rPr>
        <w:t xml:space="preserve">ve </w:t>
      </w:r>
      <w:r w:rsidRPr="00B327E2">
        <w:rPr>
          <w:rFonts w:asciiTheme="majorHAnsi" w:hAnsiTheme="majorHAnsi" w:cstheme="majorHAnsi"/>
        </w:rPr>
        <w:t>passed the arms-length transaction criteria</w:t>
      </w:r>
      <w:r w:rsidR="007656B7">
        <w:rPr>
          <w:rStyle w:val="FootnoteReference"/>
          <w:rFonts w:asciiTheme="majorHAnsi" w:hAnsiTheme="majorHAnsi" w:cstheme="majorHAnsi"/>
        </w:rPr>
        <w:footnoteReference w:id="9"/>
      </w:r>
      <w:r w:rsidR="008D660D" w:rsidRPr="008D660D">
        <w:rPr>
          <w:rFonts w:asciiTheme="majorHAnsi" w:hAnsiTheme="majorHAnsi" w:cstheme="majorHAnsi"/>
        </w:rPr>
        <w:t xml:space="preserve"> </w:t>
      </w:r>
      <w:r w:rsidR="008D660D" w:rsidRPr="00B327E2">
        <w:rPr>
          <w:rFonts w:asciiTheme="majorHAnsi" w:hAnsiTheme="majorHAnsi" w:cstheme="majorHAnsi"/>
        </w:rPr>
        <w:t>and, as a result, qualif</w:t>
      </w:r>
      <w:r w:rsidR="008D660D">
        <w:rPr>
          <w:rFonts w:asciiTheme="majorHAnsi" w:hAnsiTheme="majorHAnsi" w:cstheme="majorHAnsi"/>
        </w:rPr>
        <w:t>y</w:t>
      </w:r>
      <w:r w:rsidR="008D660D" w:rsidRPr="00B327E2">
        <w:rPr>
          <w:rFonts w:asciiTheme="majorHAnsi" w:hAnsiTheme="majorHAnsi" w:cstheme="majorHAnsi"/>
        </w:rPr>
        <w:t xml:space="preserve"> as “benchmark” propert</w:t>
      </w:r>
      <w:r w:rsidR="008D660D">
        <w:rPr>
          <w:rFonts w:asciiTheme="majorHAnsi" w:hAnsiTheme="majorHAnsi" w:cstheme="majorHAnsi"/>
        </w:rPr>
        <w:t>ies</w:t>
      </w:r>
      <w:r>
        <w:rPr>
          <w:rFonts w:asciiTheme="majorHAnsi" w:hAnsiTheme="majorHAnsi" w:cstheme="majorHAnsi"/>
        </w:rPr>
        <w:t xml:space="preserve">.  </w:t>
      </w:r>
      <w:r w:rsidR="003E40E7">
        <w:rPr>
          <w:rFonts w:cstheme="minorHAnsi"/>
        </w:rPr>
        <w:t xml:space="preserve">AVM vendors are provided only the addresses for </w:t>
      </w:r>
      <w:r w:rsidR="00440BC6">
        <w:rPr>
          <w:rFonts w:cstheme="minorHAnsi"/>
        </w:rPr>
        <w:t>hundreds of thousands</w:t>
      </w:r>
      <w:r w:rsidR="003E40E7">
        <w:rPr>
          <w:rFonts w:cstheme="minorHAnsi"/>
        </w:rPr>
        <w:t xml:space="preserve"> of benchmark properties and asked to return their AVM valuation and </w:t>
      </w:r>
      <w:r w:rsidR="00151D94">
        <w:rPr>
          <w:rFonts w:cstheme="minorHAnsi"/>
        </w:rPr>
        <w:t>v</w:t>
      </w:r>
      <w:r w:rsidR="003E40E7">
        <w:rPr>
          <w:rFonts w:cstheme="minorHAnsi"/>
        </w:rPr>
        <w:t>endor-reported FSD</w:t>
      </w:r>
      <w:r w:rsidR="00151D94">
        <w:rPr>
          <w:rFonts w:cstheme="minorHAnsi"/>
        </w:rPr>
        <w:t xml:space="preserve"> for each benchmark property</w:t>
      </w:r>
      <w:r w:rsidR="003E40E7">
        <w:rPr>
          <w:rFonts w:cstheme="minorHAnsi"/>
        </w:rPr>
        <w:t xml:space="preserve">. </w:t>
      </w:r>
    </w:p>
    <w:p w14:paraId="7E1B6BCB" w14:textId="216542B5" w:rsidR="00573AEE" w:rsidRPr="00C3178B" w:rsidRDefault="00573AEE" w:rsidP="00F97CC6">
      <w:pPr>
        <w:tabs>
          <w:tab w:val="num" w:pos="720"/>
        </w:tabs>
        <w:spacing w:before="240" w:line="360" w:lineRule="auto"/>
        <w:ind w:firstLine="0"/>
        <w:jc w:val="both"/>
        <w:rPr>
          <w:rFonts w:asciiTheme="majorHAnsi" w:hAnsiTheme="majorHAnsi" w:cstheme="majorHAnsi"/>
        </w:rPr>
      </w:pPr>
      <w:r w:rsidRPr="00B327E2">
        <w:rPr>
          <w:rFonts w:asciiTheme="majorHAnsi" w:hAnsiTheme="majorHAnsi" w:cstheme="majorHAnsi"/>
        </w:rPr>
        <w:t xml:space="preserve">A fundamental </w:t>
      </w:r>
      <w:r>
        <w:rPr>
          <w:rFonts w:asciiTheme="majorHAnsi" w:hAnsiTheme="majorHAnsi" w:cstheme="majorHAnsi"/>
        </w:rPr>
        <w:t>problem</w:t>
      </w:r>
      <w:r w:rsidRPr="00B327E2">
        <w:rPr>
          <w:rFonts w:asciiTheme="majorHAnsi" w:hAnsiTheme="majorHAnsi" w:cstheme="majorHAnsi"/>
        </w:rPr>
        <w:t xml:space="preserve"> in AVM testing </w:t>
      </w:r>
      <w:r>
        <w:rPr>
          <w:rFonts w:asciiTheme="majorHAnsi" w:hAnsiTheme="majorHAnsi" w:cstheme="majorHAnsi"/>
        </w:rPr>
        <w:t>occurs when</w:t>
      </w:r>
      <w:r w:rsidRPr="00B327E2">
        <w:rPr>
          <w:rFonts w:asciiTheme="majorHAnsi" w:hAnsiTheme="majorHAnsi" w:cstheme="majorHAnsi"/>
        </w:rPr>
        <w:t xml:space="preserve"> the AVM vendor </w:t>
      </w:r>
      <w:r>
        <w:rPr>
          <w:rFonts w:asciiTheme="majorHAnsi" w:hAnsiTheme="majorHAnsi" w:cstheme="majorHAnsi"/>
        </w:rPr>
        <w:t>already has</w:t>
      </w:r>
      <w:r w:rsidRPr="00B327E2">
        <w:rPr>
          <w:rFonts w:asciiTheme="majorHAnsi" w:hAnsiTheme="majorHAnsi" w:cstheme="majorHAnsi"/>
        </w:rPr>
        <w:t xml:space="preserve"> the sales price </w:t>
      </w:r>
      <w:r>
        <w:rPr>
          <w:rFonts w:asciiTheme="majorHAnsi" w:hAnsiTheme="majorHAnsi" w:cstheme="majorHAnsi"/>
        </w:rPr>
        <w:t xml:space="preserve">of a benchmark property </w:t>
      </w:r>
      <w:r w:rsidRPr="00B327E2">
        <w:rPr>
          <w:rFonts w:asciiTheme="majorHAnsi" w:hAnsiTheme="majorHAnsi" w:cstheme="majorHAnsi"/>
        </w:rPr>
        <w:t>in its database.</w:t>
      </w:r>
      <w:r w:rsidR="001735C0">
        <w:rPr>
          <w:rFonts w:asciiTheme="majorHAnsi" w:hAnsiTheme="majorHAnsi" w:cstheme="majorHAnsi"/>
        </w:rPr>
        <w:t xml:space="preserve">  CRC (2003, p. 12) state that </w:t>
      </w:r>
      <w:r w:rsidRPr="00B327E2">
        <w:rPr>
          <w:rFonts w:asciiTheme="majorHAnsi" w:hAnsiTheme="majorHAnsi" w:cstheme="majorHAnsi"/>
        </w:rPr>
        <w:t xml:space="preserve"> “There is substantial concern that the model results will be ‘steered’ [or informed] by allowing the AVM to ‘see’ the most recent sale.”</w:t>
      </w:r>
      <w:r w:rsidR="007656B7">
        <w:rPr>
          <w:rStyle w:val="FootnoteReference"/>
          <w:rFonts w:asciiTheme="majorHAnsi" w:hAnsiTheme="majorHAnsi" w:cstheme="majorHAnsi"/>
        </w:rPr>
        <w:footnoteReference w:id="10"/>
      </w:r>
      <w:r w:rsidRPr="00B327E2">
        <w:rPr>
          <w:rFonts w:asciiTheme="majorHAnsi" w:hAnsiTheme="majorHAnsi" w:cstheme="majorHAnsi"/>
        </w:rPr>
        <w:t xml:space="preserve">  </w:t>
      </w:r>
      <w:r w:rsidR="007656B7">
        <w:rPr>
          <w:rFonts w:asciiTheme="majorHAnsi" w:hAnsiTheme="majorHAnsi" w:cstheme="majorHAnsi"/>
        </w:rPr>
        <w:t>I</w:t>
      </w:r>
      <w:r w:rsidR="00C3178B">
        <w:rPr>
          <w:rFonts w:cstheme="minorHAnsi"/>
        </w:rPr>
        <w:t>ndependent third-part</w:t>
      </w:r>
      <w:r w:rsidR="007656B7">
        <w:rPr>
          <w:rFonts w:cstheme="minorHAnsi"/>
        </w:rPr>
        <w:t xml:space="preserve">ies </w:t>
      </w:r>
      <w:r w:rsidR="00C3178B">
        <w:rPr>
          <w:rFonts w:cstheme="minorHAnsi"/>
        </w:rPr>
        <w:t>(</w:t>
      </w:r>
      <w:r w:rsidR="00151D94">
        <w:rPr>
          <w:rFonts w:cstheme="minorHAnsi"/>
        </w:rPr>
        <w:t xml:space="preserve">e.g., </w:t>
      </w:r>
      <w:r w:rsidR="00C3178B">
        <w:rPr>
          <w:rFonts w:cstheme="minorHAnsi"/>
        </w:rPr>
        <w:t xml:space="preserve">AVMetrics) take numerous precautions to ensure that the </w:t>
      </w:r>
      <w:r w:rsidR="00E50AA5">
        <w:rPr>
          <w:rFonts w:cstheme="minorHAnsi"/>
        </w:rPr>
        <w:t xml:space="preserve">AVM </w:t>
      </w:r>
      <w:r w:rsidR="00C3178B">
        <w:rPr>
          <w:rFonts w:cstheme="minorHAnsi"/>
        </w:rPr>
        <w:t xml:space="preserve">vendors cannot simply “look-up” the </w:t>
      </w:r>
      <w:r w:rsidR="00A73C56">
        <w:rPr>
          <w:rFonts w:cstheme="minorHAnsi"/>
        </w:rPr>
        <w:t>selling price</w:t>
      </w:r>
      <w:r w:rsidR="00C3178B">
        <w:rPr>
          <w:rFonts w:cstheme="minorHAnsi"/>
        </w:rPr>
        <w:t xml:space="preserve"> from the</w:t>
      </w:r>
      <w:r w:rsidR="00A73C56">
        <w:rPr>
          <w:rFonts w:cstheme="minorHAnsi"/>
        </w:rPr>
        <w:t xml:space="preserve"> vendor’s </w:t>
      </w:r>
      <w:r w:rsidR="00C3178B">
        <w:rPr>
          <w:rFonts w:cstheme="minorHAnsi"/>
        </w:rPr>
        <w:t>own sales data</w:t>
      </w:r>
      <w:r w:rsidR="00A73C56">
        <w:rPr>
          <w:rFonts w:cstheme="minorHAnsi"/>
        </w:rPr>
        <w:t xml:space="preserve"> and </w:t>
      </w:r>
      <w:r w:rsidR="00E50AA5">
        <w:rPr>
          <w:rFonts w:cstheme="minorHAnsi"/>
        </w:rPr>
        <w:t xml:space="preserve">then </w:t>
      </w:r>
      <w:r w:rsidR="00A73C56">
        <w:rPr>
          <w:rFonts w:cstheme="minorHAnsi"/>
        </w:rPr>
        <w:t>simply report that selling price as the</w:t>
      </w:r>
      <w:r w:rsidR="00E50AA5">
        <w:rPr>
          <w:rFonts w:cstheme="minorHAnsi"/>
        </w:rPr>
        <w:t xml:space="preserve"> </w:t>
      </w:r>
      <w:r w:rsidR="00A73C56">
        <w:rPr>
          <w:rFonts w:cstheme="minorHAnsi"/>
        </w:rPr>
        <w:t>valuation</w:t>
      </w:r>
      <w:r w:rsidR="00C3178B">
        <w:rPr>
          <w:rFonts w:asciiTheme="majorHAnsi" w:hAnsiTheme="majorHAnsi" w:cstheme="majorHAnsi"/>
        </w:rPr>
        <w:t xml:space="preserve">. </w:t>
      </w:r>
      <w:r w:rsidR="00B92C9D">
        <w:rPr>
          <w:rFonts w:asciiTheme="majorHAnsi" w:hAnsiTheme="majorHAnsi" w:cstheme="majorHAnsi"/>
        </w:rPr>
        <w:t xml:space="preserve"> </w:t>
      </w:r>
      <w:r w:rsidR="00C3178B">
        <w:rPr>
          <w:rFonts w:asciiTheme="majorHAnsi" w:hAnsiTheme="majorHAnsi" w:cstheme="majorHAnsi"/>
        </w:rPr>
        <w:t>For example</w:t>
      </w:r>
      <w:r>
        <w:rPr>
          <w:rFonts w:asciiTheme="majorHAnsi" w:hAnsiTheme="majorHAnsi" w:cstheme="majorHAnsi"/>
        </w:rPr>
        <w:t xml:space="preserve">, AVMetrics </w:t>
      </w:r>
      <w:r w:rsidRPr="00B327E2">
        <w:rPr>
          <w:rFonts w:asciiTheme="majorHAnsi" w:hAnsiTheme="majorHAnsi" w:cstheme="majorHAnsi"/>
        </w:rPr>
        <w:t xml:space="preserve">requires </w:t>
      </w:r>
      <w:r w:rsidR="00B92C9D">
        <w:rPr>
          <w:rFonts w:asciiTheme="majorHAnsi" w:hAnsiTheme="majorHAnsi" w:cstheme="majorHAnsi"/>
        </w:rPr>
        <w:t xml:space="preserve">that </w:t>
      </w:r>
      <w:r w:rsidRPr="00B327E2">
        <w:rPr>
          <w:rFonts w:asciiTheme="majorHAnsi" w:hAnsiTheme="majorHAnsi" w:cstheme="majorHAnsi"/>
        </w:rPr>
        <w:t xml:space="preserve">AVM </w:t>
      </w:r>
      <w:r>
        <w:rPr>
          <w:rFonts w:asciiTheme="majorHAnsi" w:hAnsiTheme="majorHAnsi" w:cstheme="majorHAnsi"/>
        </w:rPr>
        <w:t>providers</w:t>
      </w:r>
      <w:r w:rsidRPr="00B327E2">
        <w:rPr>
          <w:rFonts w:asciiTheme="majorHAnsi" w:hAnsiTheme="majorHAnsi" w:cstheme="majorHAnsi"/>
        </w:rPr>
        <w:t xml:space="preserve"> return the last known sales price</w:t>
      </w:r>
      <w:r>
        <w:rPr>
          <w:rFonts w:asciiTheme="majorHAnsi" w:hAnsiTheme="majorHAnsi" w:cstheme="majorHAnsi"/>
        </w:rPr>
        <w:t xml:space="preserve"> in their database f</w:t>
      </w:r>
      <w:r w:rsidRPr="00B327E2">
        <w:rPr>
          <w:rFonts w:asciiTheme="majorHAnsi" w:hAnsiTheme="majorHAnsi" w:cstheme="majorHAnsi"/>
        </w:rPr>
        <w:t xml:space="preserve">or each </w:t>
      </w:r>
      <w:r>
        <w:rPr>
          <w:rFonts w:asciiTheme="majorHAnsi" w:hAnsiTheme="majorHAnsi" w:cstheme="majorHAnsi"/>
        </w:rPr>
        <w:t xml:space="preserve">benchmark </w:t>
      </w:r>
      <w:r w:rsidRPr="00B327E2">
        <w:rPr>
          <w:rFonts w:asciiTheme="majorHAnsi" w:hAnsiTheme="majorHAnsi" w:cstheme="majorHAnsi"/>
        </w:rPr>
        <w:t>property</w:t>
      </w:r>
      <w:r>
        <w:rPr>
          <w:rFonts w:asciiTheme="majorHAnsi" w:hAnsiTheme="majorHAnsi" w:cstheme="majorHAnsi"/>
        </w:rPr>
        <w:t xml:space="preserve">, together </w:t>
      </w:r>
      <w:r>
        <w:rPr>
          <w:rFonts w:asciiTheme="majorHAnsi" w:hAnsiTheme="majorHAnsi" w:cstheme="majorHAnsi"/>
        </w:rPr>
        <w:lastRenderedPageBreak/>
        <w:t>with</w:t>
      </w:r>
      <w:r w:rsidRPr="00B327E2">
        <w:rPr>
          <w:rFonts w:asciiTheme="majorHAnsi" w:hAnsiTheme="majorHAnsi" w:cstheme="majorHAnsi"/>
        </w:rPr>
        <w:t xml:space="preserve"> </w:t>
      </w:r>
      <w:r>
        <w:rPr>
          <w:rFonts w:asciiTheme="majorHAnsi" w:hAnsiTheme="majorHAnsi" w:cstheme="majorHAnsi"/>
        </w:rPr>
        <w:t xml:space="preserve">its </w:t>
      </w:r>
      <w:r w:rsidRPr="00B327E2">
        <w:rPr>
          <w:rFonts w:asciiTheme="majorHAnsi" w:hAnsiTheme="majorHAnsi" w:cstheme="majorHAnsi"/>
        </w:rPr>
        <w:t>date of sale</w:t>
      </w:r>
      <w:r>
        <w:rPr>
          <w:rFonts w:asciiTheme="majorHAnsi" w:hAnsiTheme="majorHAnsi" w:cstheme="majorHAnsi"/>
        </w:rPr>
        <w:t>.</w:t>
      </w:r>
      <w:r>
        <w:rPr>
          <w:rStyle w:val="FootnoteReference"/>
          <w:rFonts w:cstheme="minorHAnsi"/>
        </w:rPr>
        <w:footnoteReference w:id="11"/>
      </w:r>
      <w:r>
        <w:rPr>
          <w:rFonts w:asciiTheme="majorHAnsi" w:hAnsiTheme="majorHAnsi" w:cstheme="majorHAnsi"/>
        </w:rPr>
        <w:t xml:space="preserve">  AVMetrics </w:t>
      </w:r>
      <w:r w:rsidR="00224418">
        <w:rPr>
          <w:rFonts w:asciiTheme="majorHAnsi" w:hAnsiTheme="majorHAnsi" w:cstheme="majorHAnsi"/>
        </w:rPr>
        <w:t xml:space="preserve">also </w:t>
      </w:r>
      <w:r>
        <w:rPr>
          <w:rFonts w:asciiTheme="majorHAnsi" w:hAnsiTheme="majorHAnsi" w:cstheme="majorHAnsi"/>
        </w:rPr>
        <w:t>requires AVM providers return an AVM valuation</w:t>
      </w:r>
      <w:r w:rsidRPr="00B327E2">
        <w:rPr>
          <w:rFonts w:asciiTheme="majorHAnsi" w:hAnsiTheme="majorHAnsi" w:cstheme="majorHAnsi"/>
        </w:rPr>
        <w:t>, together with a</w:t>
      </w:r>
      <w:r>
        <w:rPr>
          <w:rFonts w:asciiTheme="majorHAnsi" w:hAnsiTheme="majorHAnsi" w:cstheme="majorHAnsi"/>
        </w:rPr>
        <w:t xml:space="preserve"> vendor-reported</w:t>
      </w:r>
      <w:r w:rsidR="00E50AA5">
        <w:rPr>
          <w:rFonts w:asciiTheme="majorHAnsi" w:hAnsiTheme="majorHAnsi" w:cstheme="majorHAnsi"/>
        </w:rPr>
        <w:t xml:space="preserve"> </w:t>
      </w:r>
      <w:r w:rsidRPr="00B327E2">
        <w:rPr>
          <w:rFonts w:asciiTheme="majorHAnsi" w:hAnsiTheme="majorHAnsi" w:cstheme="majorHAnsi"/>
        </w:rPr>
        <w:t>FSD</w:t>
      </w:r>
      <w:r>
        <w:rPr>
          <w:rFonts w:asciiTheme="majorHAnsi" w:hAnsiTheme="majorHAnsi" w:cstheme="majorHAnsi"/>
        </w:rPr>
        <w:t xml:space="preserve"> for each benchmark property, within </w:t>
      </w:r>
      <w:r w:rsidRPr="00B327E2">
        <w:rPr>
          <w:rFonts w:asciiTheme="majorHAnsi" w:hAnsiTheme="majorHAnsi" w:cstheme="majorHAnsi"/>
        </w:rPr>
        <w:t>48 hours from receipt of the</w:t>
      </w:r>
      <w:r>
        <w:rPr>
          <w:rFonts w:asciiTheme="majorHAnsi" w:hAnsiTheme="majorHAnsi" w:cstheme="majorHAnsi"/>
        </w:rPr>
        <w:t>se</w:t>
      </w:r>
      <w:r w:rsidRPr="00B327E2">
        <w:rPr>
          <w:rFonts w:asciiTheme="majorHAnsi" w:hAnsiTheme="majorHAnsi" w:cstheme="majorHAnsi"/>
        </w:rPr>
        <w:t xml:space="preserve"> test data.</w:t>
      </w:r>
      <w:r w:rsidR="007656B7">
        <w:rPr>
          <w:rStyle w:val="FootnoteReference"/>
          <w:rFonts w:asciiTheme="majorHAnsi" w:hAnsiTheme="majorHAnsi" w:cstheme="majorHAnsi"/>
        </w:rPr>
        <w:footnoteReference w:id="12"/>
      </w:r>
      <w:r>
        <w:rPr>
          <w:rFonts w:asciiTheme="majorHAnsi" w:hAnsiTheme="majorHAnsi" w:cstheme="majorHAnsi"/>
        </w:rPr>
        <w:t xml:space="preserve">  </w:t>
      </w:r>
    </w:p>
    <w:p w14:paraId="69B9E091" w14:textId="21EDCF82" w:rsidR="00573AEE" w:rsidRPr="00573AEE" w:rsidRDefault="00573AEE" w:rsidP="00573AEE">
      <w:pPr>
        <w:tabs>
          <w:tab w:val="num" w:pos="720"/>
        </w:tabs>
        <w:spacing w:before="240" w:line="360" w:lineRule="auto"/>
        <w:ind w:firstLine="0"/>
        <w:jc w:val="both"/>
        <w:rPr>
          <w:rFonts w:asciiTheme="majorHAnsi" w:hAnsiTheme="majorHAnsi" w:cstheme="majorHAnsi"/>
          <w:b/>
          <w:bCs/>
        </w:rPr>
      </w:pPr>
      <w:r>
        <w:rPr>
          <w:rFonts w:cstheme="majorHAnsi"/>
          <w:b/>
          <w:bCs/>
          <w:sz w:val="28"/>
          <w:szCs w:val="28"/>
        </w:rPr>
        <w:tab/>
        <w:t>2b</w:t>
      </w:r>
      <w:r w:rsidRPr="000E2F23">
        <w:rPr>
          <w:rFonts w:cstheme="majorHAnsi"/>
          <w:b/>
          <w:bCs/>
          <w:sz w:val="28"/>
          <w:szCs w:val="28"/>
        </w:rPr>
        <w:t xml:space="preserve">. AVM </w:t>
      </w:r>
      <w:r>
        <w:rPr>
          <w:rFonts w:cstheme="majorHAnsi"/>
          <w:b/>
          <w:bCs/>
          <w:sz w:val="28"/>
          <w:szCs w:val="28"/>
        </w:rPr>
        <w:t>Performance Metrics</w:t>
      </w:r>
    </w:p>
    <w:p w14:paraId="50E93DE0" w14:textId="2EA1C0C0" w:rsidR="00B4720E" w:rsidRDefault="00347F81" w:rsidP="00B4720E">
      <w:pPr>
        <w:tabs>
          <w:tab w:val="num" w:pos="720"/>
        </w:tabs>
        <w:spacing w:after="240" w:line="360" w:lineRule="auto"/>
        <w:ind w:firstLine="0"/>
        <w:jc w:val="both"/>
        <w:rPr>
          <w:rFonts w:asciiTheme="majorHAnsi" w:eastAsia="Calibri" w:hAnsiTheme="majorHAnsi" w:cstheme="majorHAnsi"/>
          <w:color w:val="auto"/>
          <w:lang w:eastAsia="en-US"/>
        </w:rPr>
      </w:pPr>
      <w:r>
        <w:rPr>
          <w:rFonts w:asciiTheme="majorHAnsi" w:eastAsia="Calibri" w:hAnsiTheme="majorHAnsi" w:cstheme="majorHAnsi"/>
          <w:color w:val="auto"/>
          <w:lang w:eastAsia="en-US"/>
        </w:rPr>
        <w:t xml:space="preserve">An </w:t>
      </w:r>
      <w:r w:rsidR="00B4720E" w:rsidRPr="00A278E3">
        <w:rPr>
          <w:rFonts w:asciiTheme="majorHAnsi" w:eastAsia="Calibri" w:hAnsiTheme="majorHAnsi" w:cstheme="majorHAnsi"/>
          <w:color w:val="auto"/>
          <w:lang w:eastAsia="en-US"/>
        </w:rPr>
        <w:t xml:space="preserve">AVM is often described as a </w:t>
      </w:r>
      <w:r w:rsidR="0050392F">
        <w:rPr>
          <w:rFonts w:asciiTheme="majorHAnsi" w:eastAsia="Calibri" w:hAnsiTheme="majorHAnsi" w:cstheme="majorHAnsi"/>
          <w:color w:val="auto"/>
          <w:lang w:eastAsia="en-US"/>
        </w:rPr>
        <w:t>“</w:t>
      </w:r>
      <w:r w:rsidR="00B4720E" w:rsidRPr="00A278E3">
        <w:rPr>
          <w:rFonts w:asciiTheme="majorHAnsi" w:eastAsia="Calibri" w:hAnsiTheme="majorHAnsi" w:cstheme="majorHAnsi"/>
          <w:color w:val="auto"/>
          <w:lang w:eastAsia="en-US"/>
        </w:rPr>
        <w:t>black box</w:t>
      </w:r>
      <w:r w:rsidR="0050392F">
        <w:rPr>
          <w:rFonts w:asciiTheme="majorHAnsi" w:eastAsia="Calibri" w:hAnsiTheme="majorHAnsi" w:cstheme="majorHAnsi"/>
          <w:color w:val="auto"/>
          <w:lang w:eastAsia="en-US"/>
        </w:rPr>
        <w:t>”</w:t>
      </w:r>
      <w:r w:rsidR="00B4720E" w:rsidRPr="00A278E3">
        <w:rPr>
          <w:rFonts w:asciiTheme="majorHAnsi" w:eastAsia="Calibri" w:hAnsiTheme="majorHAnsi" w:cstheme="majorHAnsi"/>
          <w:color w:val="auto"/>
          <w:lang w:eastAsia="en-US"/>
        </w:rPr>
        <w:t xml:space="preserve"> due to </w:t>
      </w:r>
      <w:r w:rsidR="00B4720E">
        <w:rPr>
          <w:rFonts w:asciiTheme="majorHAnsi" w:eastAsia="Calibri" w:hAnsiTheme="majorHAnsi" w:cstheme="majorHAnsi"/>
          <w:color w:val="auto"/>
          <w:lang w:eastAsia="en-US"/>
        </w:rPr>
        <w:t>the</w:t>
      </w:r>
      <w:r w:rsidR="00B4720E" w:rsidRPr="00A278E3">
        <w:rPr>
          <w:rFonts w:asciiTheme="majorHAnsi" w:eastAsia="Calibri" w:hAnsiTheme="majorHAnsi" w:cstheme="majorHAnsi"/>
          <w:color w:val="auto"/>
          <w:lang w:eastAsia="en-US"/>
        </w:rPr>
        <w:t xml:space="preserve"> </w:t>
      </w:r>
      <w:r w:rsidR="00B4720E">
        <w:rPr>
          <w:rFonts w:asciiTheme="majorHAnsi" w:eastAsia="Calibri" w:hAnsiTheme="majorHAnsi" w:cstheme="majorHAnsi"/>
          <w:color w:val="auto"/>
          <w:lang w:eastAsia="en-US"/>
        </w:rPr>
        <w:t xml:space="preserve">hidden and </w:t>
      </w:r>
      <w:r w:rsidR="00B4720E" w:rsidRPr="00A278E3">
        <w:rPr>
          <w:rFonts w:asciiTheme="majorHAnsi" w:eastAsia="Calibri" w:hAnsiTheme="majorHAnsi" w:cstheme="majorHAnsi"/>
          <w:color w:val="auto"/>
          <w:lang w:eastAsia="en-US"/>
        </w:rPr>
        <w:t>proprietary nature</w:t>
      </w:r>
      <w:r w:rsidR="00B4720E">
        <w:rPr>
          <w:rFonts w:asciiTheme="majorHAnsi" w:eastAsia="Calibri" w:hAnsiTheme="majorHAnsi" w:cstheme="majorHAnsi"/>
          <w:color w:val="auto"/>
          <w:lang w:eastAsia="en-US"/>
        </w:rPr>
        <w:t xml:space="preserve"> of its internal algorithmic mechanism or statistical procedure used to produce an AVM valuation for a target property.  As a result, the internal mechanics of an AVM are difficult to evaluate.  Therefore, the credibility of an AVM is typically assessed by evaluating the accuracy and precision of its </w:t>
      </w:r>
      <w:r w:rsidR="0050392F">
        <w:rPr>
          <w:rFonts w:asciiTheme="majorHAnsi" w:eastAsia="Calibri" w:hAnsiTheme="majorHAnsi" w:cstheme="majorHAnsi"/>
          <w:color w:val="auto"/>
          <w:lang w:eastAsia="en-US"/>
        </w:rPr>
        <w:t>valuations</w:t>
      </w:r>
      <w:r w:rsidR="00B4720E">
        <w:rPr>
          <w:rFonts w:asciiTheme="majorHAnsi" w:eastAsia="Calibri" w:hAnsiTheme="majorHAnsi" w:cstheme="majorHAnsi"/>
          <w:color w:val="auto"/>
          <w:lang w:eastAsia="en-US"/>
        </w:rPr>
        <w:t xml:space="preserve">, using AVM Performance Metrics. </w:t>
      </w:r>
    </w:p>
    <w:p w14:paraId="1EF79F75" w14:textId="4F3693C5" w:rsidR="00B4720E" w:rsidRPr="00A278E3" w:rsidRDefault="00B4720E" w:rsidP="00B4720E">
      <w:pPr>
        <w:tabs>
          <w:tab w:val="num" w:pos="720"/>
        </w:tabs>
        <w:spacing w:before="240" w:after="240" w:line="360" w:lineRule="auto"/>
        <w:ind w:firstLine="0"/>
        <w:jc w:val="both"/>
        <w:rPr>
          <w:rFonts w:asciiTheme="majorHAnsi" w:eastAsia="Calibri" w:hAnsiTheme="majorHAnsi" w:cstheme="majorHAnsi"/>
          <w:color w:val="auto"/>
          <w:lang w:eastAsia="en-US"/>
        </w:rPr>
      </w:pPr>
      <w:r>
        <w:rPr>
          <w:rFonts w:asciiTheme="majorHAnsi" w:eastAsia="Calibri" w:hAnsiTheme="majorHAnsi" w:cstheme="majorHAnsi"/>
          <w:color w:val="auto"/>
          <w:lang w:eastAsia="en-US"/>
        </w:rPr>
        <w:t>The basic and most fundamental AVM Performance Metric, for a</w:t>
      </w:r>
      <w:r w:rsidR="00B37152">
        <w:rPr>
          <w:rFonts w:asciiTheme="majorHAnsi" w:eastAsia="Calibri" w:hAnsiTheme="majorHAnsi" w:cstheme="majorHAnsi"/>
          <w:color w:val="auto"/>
          <w:lang w:eastAsia="en-US"/>
        </w:rPr>
        <w:t xml:space="preserve">ny </w:t>
      </w:r>
      <w:r>
        <w:rPr>
          <w:rFonts w:asciiTheme="majorHAnsi" w:eastAsia="Calibri" w:hAnsiTheme="majorHAnsi" w:cstheme="majorHAnsi"/>
          <w:color w:val="auto"/>
          <w:lang w:eastAsia="en-US"/>
        </w:rPr>
        <w:t>target property, is the percentage sales error calculated as:</w:t>
      </w:r>
    </w:p>
    <w:p w14:paraId="1CAD0042" w14:textId="1566CD04" w:rsidR="00B4720E" w:rsidRPr="00A278E3" w:rsidRDefault="00B4720E" w:rsidP="005726E4">
      <w:pPr>
        <w:tabs>
          <w:tab w:val="num" w:pos="720"/>
        </w:tabs>
        <w:spacing w:after="240" w:line="360" w:lineRule="auto"/>
        <w:ind w:firstLine="0"/>
        <w:jc w:val="center"/>
        <w:rPr>
          <w:rFonts w:asciiTheme="majorHAnsi" w:hAnsiTheme="majorHAnsi" w:cstheme="majorHAnsi"/>
        </w:rPr>
      </w:pPr>
      <w:bookmarkStart w:id="4" w:name="_Hlk536333696"/>
      <m:oMath>
        <m:r>
          <w:rPr>
            <w:rFonts w:ascii="Cambria Math" w:hAnsi="Cambria Math" w:cstheme="majorHAnsi"/>
          </w:rPr>
          <m:t xml:space="preserve">Percentage Sales Error= </m:t>
        </m:r>
        <m:f>
          <m:fPr>
            <m:ctrlPr>
              <w:rPr>
                <w:rFonts w:ascii="Cambria Math" w:hAnsi="Cambria Math" w:cstheme="majorHAnsi"/>
                <w:i/>
              </w:rPr>
            </m:ctrlPr>
          </m:fPr>
          <m:num>
            <m:r>
              <w:rPr>
                <w:rFonts w:ascii="Cambria Math" w:hAnsi="Cambria Math" w:cstheme="majorHAnsi"/>
              </w:rPr>
              <m:t>AVM Valuation-Selling Price</m:t>
            </m:r>
          </m:num>
          <m:den>
            <m:r>
              <w:rPr>
                <w:rFonts w:ascii="Cambria Math" w:hAnsi="Cambria Math" w:cstheme="majorHAnsi"/>
              </w:rPr>
              <m:t>Selling Price</m:t>
            </m:r>
          </m:den>
        </m:f>
        <m:r>
          <w:rPr>
            <w:rFonts w:ascii="Cambria Math" w:hAnsi="Cambria Math" w:cstheme="majorHAnsi"/>
          </w:rPr>
          <m:t>*100%</m:t>
        </m:r>
      </m:oMath>
      <w:r w:rsidRPr="00A278E3">
        <w:rPr>
          <w:rFonts w:asciiTheme="majorHAnsi" w:hAnsiTheme="majorHAnsi" w:cstheme="majorHAnsi"/>
        </w:rPr>
        <w:t>.</w:t>
      </w:r>
      <w:bookmarkEnd w:id="4"/>
      <w:r w:rsidR="00BC4108">
        <w:rPr>
          <w:rFonts w:asciiTheme="majorHAnsi" w:hAnsiTheme="majorHAnsi" w:cstheme="majorHAnsi"/>
        </w:rPr>
        <w:t xml:space="preserve">              </w:t>
      </w:r>
    </w:p>
    <w:p w14:paraId="33EF92A8" w14:textId="34FB8FEA" w:rsidR="00B4720E" w:rsidRDefault="00B4720E" w:rsidP="005726E4">
      <w:pPr>
        <w:tabs>
          <w:tab w:val="num" w:pos="720"/>
        </w:tabs>
        <w:spacing w:after="240" w:line="360" w:lineRule="auto"/>
        <w:ind w:firstLine="0"/>
        <w:jc w:val="both"/>
        <w:rPr>
          <w:rFonts w:asciiTheme="majorHAnsi" w:hAnsiTheme="majorHAnsi" w:cstheme="majorHAnsi"/>
        </w:rPr>
      </w:pPr>
      <w:r>
        <w:rPr>
          <w:rFonts w:asciiTheme="majorHAnsi" w:hAnsiTheme="majorHAnsi" w:cstheme="majorHAnsi"/>
        </w:rPr>
        <w:t xml:space="preserve">Most AVM Performance Metrics are derived from </w:t>
      </w:r>
      <w:r w:rsidR="00CF4F2A">
        <w:rPr>
          <w:rFonts w:asciiTheme="majorHAnsi" w:hAnsiTheme="majorHAnsi" w:cstheme="majorHAnsi"/>
        </w:rPr>
        <w:t xml:space="preserve">a set of </w:t>
      </w:r>
      <w:r>
        <w:rPr>
          <w:rFonts w:asciiTheme="majorHAnsi" w:hAnsiTheme="majorHAnsi" w:cstheme="majorHAnsi"/>
        </w:rPr>
        <w:t>percentage sales errors</w:t>
      </w:r>
      <w:r w:rsidR="00CF4F2A">
        <w:rPr>
          <w:rFonts w:asciiTheme="majorHAnsi" w:hAnsiTheme="majorHAnsi" w:cstheme="majorHAnsi"/>
        </w:rPr>
        <w:t xml:space="preserve">, </w:t>
      </w:r>
      <w:r w:rsidR="007E40F0">
        <w:rPr>
          <w:rFonts w:asciiTheme="majorHAnsi" w:hAnsiTheme="majorHAnsi" w:cstheme="majorHAnsi"/>
        </w:rPr>
        <w:t xml:space="preserve">calculated </w:t>
      </w:r>
      <w:r w:rsidR="004E05F0">
        <w:rPr>
          <w:rFonts w:asciiTheme="majorHAnsi" w:hAnsiTheme="majorHAnsi" w:cstheme="majorHAnsi"/>
        </w:rPr>
        <w:t>using</w:t>
      </w:r>
      <w:r w:rsidR="00CF4F2A">
        <w:rPr>
          <w:rFonts w:asciiTheme="majorHAnsi" w:hAnsiTheme="majorHAnsi" w:cstheme="majorHAnsi"/>
        </w:rPr>
        <w:t xml:space="preserve"> multiple target properties</w:t>
      </w:r>
      <w:r>
        <w:rPr>
          <w:rFonts w:asciiTheme="majorHAnsi" w:hAnsiTheme="majorHAnsi" w:cstheme="majorHAnsi"/>
        </w:rPr>
        <w:t>.</w:t>
      </w:r>
      <w:r w:rsidR="00F757B6">
        <w:rPr>
          <w:rFonts w:asciiTheme="majorHAnsi" w:hAnsiTheme="majorHAnsi" w:cstheme="majorHAnsi"/>
        </w:rPr>
        <w:t xml:space="preserve"> </w:t>
      </w:r>
      <w:r>
        <w:rPr>
          <w:rFonts w:asciiTheme="majorHAnsi" w:hAnsiTheme="majorHAnsi" w:cstheme="majorHAnsi"/>
        </w:rPr>
        <w:t>Several metrics are shown in Exhibit 1.</w:t>
      </w:r>
      <w:r w:rsidR="00E50AA5">
        <w:rPr>
          <w:rStyle w:val="FootnoteReference"/>
          <w:rFonts w:asciiTheme="majorHAnsi" w:hAnsiTheme="majorHAnsi" w:cstheme="majorHAnsi"/>
        </w:rPr>
        <w:footnoteReference w:id="13"/>
      </w:r>
      <w:r>
        <w:rPr>
          <w:rFonts w:asciiTheme="majorHAnsi" w:hAnsiTheme="majorHAnsi" w:cstheme="majorHAnsi"/>
        </w:rPr>
        <w:t xml:space="preserve">  For example, the mean and median percentage sales errors measure the accuracy of an AVM. The mean and median absolute percentage sales errors, together with the FSD</w:t>
      </w:r>
      <w:r w:rsidR="00B37152">
        <w:rPr>
          <w:rFonts w:asciiTheme="majorHAnsi" w:hAnsiTheme="majorHAnsi" w:cstheme="majorHAnsi"/>
        </w:rPr>
        <w:t>,</w:t>
      </w:r>
      <w:r>
        <w:rPr>
          <w:rFonts w:asciiTheme="majorHAnsi" w:hAnsiTheme="majorHAnsi" w:cstheme="majorHAnsi"/>
        </w:rPr>
        <w:t xml:space="preserve"> quantify an AVM’s precision, while many of the remaining metrics</w:t>
      </w:r>
      <w:r w:rsidR="00770090">
        <w:rPr>
          <w:rFonts w:asciiTheme="majorHAnsi" w:hAnsiTheme="majorHAnsi" w:cstheme="majorHAnsi"/>
        </w:rPr>
        <w:t xml:space="preserve"> seen</w:t>
      </w:r>
      <w:r>
        <w:rPr>
          <w:rFonts w:asciiTheme="majorHAnsi" w:hAnsiTheme="majorHAnsi" w:cstheme="majorHAnsi"/>
        </w:rPr>
        <w:t xml:space="preserve"> in Exhibit 1 assess a combination of an AVM’s accuracy and precision.  </w:t>
      </w:r>
    </w:p>
    <w:p w14:paraId="08DA1718" w14:textId="77777777" w:rsidR="00B4720E" w:rsidRPr="007F5596" w:rsidRDefault="00B4720E" w:rsidP="00770090">
      <w:pPr>
        <w:tabs>
          <w:tab w:val="num" w:pos="720"/>
        </w:tabs>
        <w:spacing w:line="360" w:lineRule="auto"/>
        <w:ind w:firstLine="0"/>
        <w:jc w:val="center"/>
      </w:pPr>
      <w:r>
        <w:t>Exhibit 1 About Here</w:t>
      </w:r>
    </w:p>
    <w:p w14:paraId="5C6E4C2D" w14:textId="3C159FE3" w:rsidR="004E2C3A" w:rsidRDefault="000425AF" w:rsidP="00B4720E">
      <w:pPr>
        <w:tabs>
          <w:tab w:val="num" w:pos="720"/>
        </w:tabs>
        <w:spacing w:before="240" w:line="360" w:lineRule="auto"/>
        <w:ind w:firstLine="0"/>
        <w:jc w:val="both"/>
        <w:rPr>
          <w:rFonts w:asciiTheme="majorHAnsi" w:hAnsiTheme="majorHAnsi" w:cstheme="majorHAnsi"/>
        </w:rPr>
      </w:pPr>
      <w:r>
        <w:rPr>
          <w:rFonts w:ascii="Times New Roman" w:hAnsi="Times New Roman" w:cs="Times New Roman"/>
        </w:rPr>
        <w:t xml:space="preserve">Reporting </w:t>
      </w:r>
      <w:r w:rsidR="00151D94">
        <w:rPr>
          <w:rFonts w:ascii="Times New Roman" w:hAnsi="Times New Roman" w:cs="Times New Roman"/>
        </w:rPr>
        <w:t>an</w:t>
      </w:r>
      <w:r w:rsidR="0056705F">
        <w:rPr>
          <w:rFonts w:ascii="Times New Roman" w:hAnsi="Times New Roman" w:cs="Times New Roman"/>
        </w:rPr>
        <w:t xml:space="preserve"> AVM valuation</w:t>
      </w:r>
      <w:r w:rsidR="00034BAF">
        <w:rPr>
          <w:rFonts w:ascii="Times New Roman" w:hAnsi="Times New Roman" w:cs="Times New Roman"/>
        </w:rPr>
        <w:t>,</w:t>
      </w:r>
      <w:r w:rsidR="00151D94">
        <w:rPr>
          <w:rFonts w:ascii="Times New Roman" w:hAnsi="Times New Roman" w:cs="Times New Roman"/>
        </w:rPr>
        <w:t xml:space="preserve"> </w:t>
      </w:r>
      <w:r w:rsidR="00034BAF">
        <w:rPr>
          <w:rFonts w:ascii="Times New Roman" w:hAnsi="Times New Roman" w:cs="Times New Roman"/>
        </w:rPr>
        <w:t>together with</w:t>
      </w:r>
      <w:r w:rsidR="00151D94">
        <w:rPr>
          <w:rFonts w:ascii="Times New Roman" w:hAnsi="Times New Roman" w:cs="Times New Roman"/>
        </w:rPr>
        <w:t xml:space="preserve"> its </w:t>
      </w:r>
      <w:r w:rsidR="002C4139">
        <w:rPr>
          <w:rFonts w:ascii="Times New Roman" w:hAnsi="Times New Roman" w:cs="Times New Roman"/>
        </w:rPr>
        <w:t xml:space="preserve">corresponding </w:t>
      </w:r>
      <w:r w:rsidR="00034BAF">
        <w:rPr>
          <w:rFonts w:ascii="Times New Roman" w:hAnsi="Times New Roman" w:cs="Times New Roman"/>
        </w:rPr>
        <w:t xml:space="preserve">vendor-reported </w:t>
      </w:r>
      <w:r w:rsidR="00151D94">
        <w:rPr>
          <w:rFonts w:ascii="Times New Roman" w:hAnsi="Times New Roman" w:cs="Times New Roman"/>
        </w:rPr>
        <w:t>FSD</w:t>
      </w:r>
      <w:r w:rsidR="00034BAF">
        <w:rPr>
          <w:rFonts w:ascii="Times New Roman" w:hAnsi="Times New Roman" w:cs="Times New Roman"/>
        </w:rPr>
        <w:t>,</w:t>
      </w:r>
      <w:r>
        <w:rPr>
          <w:rFonts w:ascii="Times New Roman" w:hAnsi="Times New Roman" w:cs="Times New Roman"/>
        </w:rPr>
        <w:t xml:space="preserve"> </w:t>
      </w:r>
      <w:r w:rsidR="00034BAF">
        <w:rPr>
          <w:rFonts w:ascii="Times New Roman" w:hAnsi="Times New Roman" w:cs="Times New Roman"/>
        </w:rPr>
        <w:t xml:space="preserve">to </w:t>
      </w:r>
      <w:r w:rsidR="00AD5036">
        <w:rPr>
          <w:rFonts w:ascii="Times New Roman" w:hAnsi="Times New Roman" w:cs="Times New Roman"/>
        </w:rPr>
        <w:t xml:space="preserve">the </w:t>
      </w:r>
      <w:r w:rsidR="00034BAF">
        <w:rPr>
          <w:rFonts w:ascii="Times New Roman" w:hAnsi="Times New Roman" w:cs="Times New Roman"/>
        </w:rPr>
        <w:t>client</w:t>
      </w:r>
      <w:r>
        <w:rPr>
          <w:rFonts w:ascii="Times New Roman" w:hAnsi="Times New Roman" w:cs="Times New Roman"/>
        </w:rPr>
        <w:t xml:space="preserve"> is ubiquitous, however, </w:t>
      </w:r>
      <w:r w:rsidR="00F661CD">
        <w:rPr>
          <w:rFonts w:ascii="Times New Roman" w:hAnsi="Times New Roman" w:cs="Times New Roman"/>
        </w:rPr>
        <w:t xml:space="preserve">the </w:t>
      </w:r>
      <w:r>
        <w:rPr>
          <w:rFonts w:ascii="Times New Roman" w:hAnsi="Times New Roman" w:cs="Times New Roman"/>
        </w:rPr>
        <w:t>definition</w:t>
      </w:r>
      <w:r w:rsidR="00866164">
        <w:rPr>
          <w:rFonts w:ascii="Times New Roman" w:hAnsi="Times New Roman" w:cs="Times New Roman"/>
        </w:rPr>
        <w:t xml:space="preserve"> and</w:t>
      </w:r>
      <w:r w:rsidR="006E5870">
        <w:rPr>
          <w:rFonts w:ascii="Times New Roman" w:hAnsi="Times New Roman" w:cs="Times New Roman"/>
        </w:rPr>
        <w:t>/</w:t>
      </w:r>
      <w:r w:rsidR="00866164">
        <w:rPr>
          <w:rFonts w:ascii="Times New Roman" w:hAnsi="Times New Roman" w:cs="Times New Roman"/>
        </w:rPr>
        <w:t xml:space="preserve">or </w:t>
      </w:r>
      <w:r w:rsidR="006E5870">
        <w:rPr>
          <w:rFonts w:ascii="Times New Roman" w:hAnsi="Times New Roman" w:cs="Times New Roman"/>
        </w:rPr>
        <w:t>calculation</w:t>
      </w:r>
      <w:r w:rsidR="00F661CD">
        <w:rPr>
          <w:rFonts w:ascii="Times New Roman" w:hAnsi="Times New Roman" w:cs="Times New Roman"/>
        </w:rPr>
        <w:t xml:space="preserve"> of </w:t>
      </w:r>
      <w:r w:rsidR="00E66726">
        <w:rPr>
          <w:rFonts w:ascii="Times New Roman" w:hAnsi="Times New Roman" w:cs="Times New Roman"/>
        </w:rPr>
        <w:t xml:space="preserve">the </w:t>
      </w:r>
      <w:r w:rsidR="00F661CD">
        <w:rPr>
          <w:rFonts w:ascii="Times New Roman" w:hAnsi="Times New Roman" w:cs="Times New Roman"/>
        </w:rPr>
        <w:t>FSD</w:t>
      </w:r>
      <w:r>
        <w:rPr>
          <w:rFonts w:ascii="Times New Roman" w:hAnsi="Times New Roman" w:cs="Times New Roman"/>
        </w:rPr>
        <w:t xml:space="preserve"> is not standardized across the </w:t>
      </w:r>
      <w:r>
        <w:rPr>
          <w:rFonts w:ascii="Times New Roman" w:hAnsi="Times New Roman" w:cs="Times New Roman"/>
        </w:rPr>
        <w:lastRenderedPageBreak/>
        <w:t>industry</w:t>
      </w:r>
      <w:r w:rsidR="0014410B">
        <w:rPr>
          <w:rFonts w:ascii="Times New Roman" w:hAnsi="Times New Roman" w:cs="Times New Roman"/>
        </w:rPr>
        <w:t>.</w:t>
      </w:r>
      <w:r w:rsidR="0014410B">
        <w:rPr>
          <w:rStyle w:val="FootnoteReference"/>
          <w:rFonts w:ascii="Times New Roman" w:hAnsi="Times New Roman" w:cs="Times New Roman"/>
        </w:rPr>
        <w:footnoteReference w:id="14"/>
      </w:r>
      <w:r w:rsidR="006E5870">
        <w:rPr>
          <w:rFonts w:asciiTheme="majorHAnsi" w:hAnsiTheme="majorHAnsi" w:cstheme="majorHAnsi"/>
        </w:rPr>
        <w:t xml:space="preserve"> </w:t>
      </w:r>
      <w:r w:rsidRPr="00996C9A">
        <w:rPr>
          <w:rFonts w:ascii="Times New Roman" w:hAnsi="Times New Roman" w:cs="Times New Roman"/>
        </w:rPr>
        <w:t xml:space="preserve">The mathematically clearest definition of an FSD is that it is the standard deviation of </w:t>
      </w:r>
      <w:r w:rsidR="00866164">
        <w:rPr>
          <w:rFonts w:ascii="Times New Roman" w:hAnsi="Times New Roman" w:cs="Times New Roman"/>
        </w:rPr>
        <w:t>a set of</w:t>
      </w:r>
      <w:r w:rsidRPr="00996C9A">
        <w:rPr>
          <w:rFonts w:ascii="Times New Roman" w:hAnsi="Times New Roman" w:cs="Times New Roman"/>
        </w:rPr>
        <w:t xml:space="preserve"> percentage sales errors.</w:t>
      </w:r>
      <w:r w:rsidR="0014410B">
        <w:rPr>
          <w:rStyle w:val="FootnoteReference"/>
          <w:rFonts w:ascii="Times New Roman" w:hAnsi="Times New Roman" w:cs="Times New Roman"/>
        </w:rPr>
        <w:footnoteReference w:id="15"/>
      </w:r>
      <w:r>
        <w:rPr>
          <w:rFonts w:asciiTheme="majorHAnsi" w:hAnsiTheme="majorHAnsi" w:cstheme="majorHAnsi"/>
        </w:rPr>
        <w:t xml:space="preserve"> </w:t>
      </w:r>
      <w:r w:rsidR="00AF10AE">
        <w:rPr>
          <w:rFonts w:ascii="Times New Roman" w:hAnsi="Times New Roman" w:cs="Times New Roman"/>
        </w:rPr>
        <w:t>However, s</w:t>
      </w:r>
      <w:r w:rsidR="00AF10AE">
        <w:rPr>
          <w:rFonts w:asciiTheme="majorHAnsi" w:hAnsiTheme="majorHAnsi" w:cstheme="majorHAnsi"/>
        </w:rPr>
        <w:t xml:space="preserve">tandards for selecting </w:t>
      </w:r>
      <w:r w:rsidR="0091001E">
        <w:rPr>
          <w:rFonts w:asciiTheme="majorHAnsi" w:hAnsiTheme="majorHAnsi" w:cstheme="majorHAnsi"/>
        </w:rPr>
        <w:t xml:space="preserve">the </w:t>
      </w:r>
      <w:r w:rsidR="00AF10AE">
        <w:rPr>
          <w:rFonts w:asciiTheme="majorHAnsi" w:hAnsiTheme="majorHAnsi" w:cstheme="majorHAnsi"/>
        </w:rPr>
        <w:t xml:space="preserve">housing sales required to calculate an FSD do not </w:t>
      </w:r>
      <w:r w:rsidR="00034BAF">
        <w:rPr>
          <w:rFonts w:asciiTheme="majorHAnsi" w:hAnsiTheme="majorHAnsi" w:cstheme="majorHAnsi"/>
        </w:rPr>
        <w:t xml:space="preserve">currently </w:t>
      </w:r>
      <w:r w:rsidR="00AF10AE">
        <w:rPr>
          <w:rFonts w:asciiTheme="majorHAnsi" w:hAnsiTheme="majorHAnsi" w:cstheme="majorHAnsi"/>
        </w:rPr>
        <w:t>exist</w:t>
      </w:r>
      <w:r w:rsidR="0056705F">
        <w:rPr>
          <w:rFonts w:asciiTheme="majorHAnsi" w:hAnsiTheme="majorHAnsi" w:cstheme="majorHAnsi"/>
        </w:rPr>
        <w:t>.</w:t>
      </w:r>
    </w:p>
    <w:p w14:paraId="71F90231" w14:textId="05C0E0AF" w:rsidR="0056705F" w:rsidRDefault="0056705F" w:rsidP="00FD0118">
      <w:pPr>
        <w:tabs>
          <w:tab w:val="num" w:pos="720"/>
        </w:tabs>
        <w:spacing w:before="240" w:line="360" w:lineRule="auto"/>
        <w:ind w:firstLine="0"/>
        <w:jc w:val="both"/>
        <w:rPr>
          <w:rFonts w:asciiTheme="majorHAnsi" w:hAnsiTheme="majorHAnsi" w:cstheme="majorHAnsi"/>
        </w:rPr>
      </w:pPr>
      <w:r>
        <w:rPr>
          <w:rFonts w:ascii="Times New Roman" w:eastAsia="SimSun" w:hAnsi="Times New Roman" w:cs="Times New Roman"/>
          <w:color w:val="000000"/>
        </w:rPr>
        <w:t xml:space="preserve">The first </w:t>
      </w:r>
      <w:r w:rsidR="00465148">
        <w:rPr>
          <w:rFonts w:ascii="Times New Roman" w:eastAsia="SimSun" w:hAnsi="Times New Roman" w:cs="Times New Roman"/>
          <w:color w:val="000000"/>
        </w:rPr>
        <w:t>goal</w:t>
      </w:r>
      <w:r w:rsidR="00D10741">
        <w:rPr>
          <w:rFonts w:ascii="Times New Roman" w:eastAsia="SimSun" w:hAnsi="Times New Roman" w:cs="Times New Roman"/>
          <w:color w:val="000000"/>
        </w:rPr>
        <w:t xml:space="preserve"> in </w:t>
      </w:r>
      <w:r>
        <w:rPr>
          <w:rFonts w:ascii="Times New Roman" w:eastAsia="SimSun" w:hAnsi="Times New Roman" w:cs="Times New Roman"/>
          <w:color w:val="000000"/>
        </w:rPr>
        <w:t xml:space="preserve">this </w:t>
      </w:r>
      <w:r w:rsidR="00465148">
        <w:rPr>
          <w:rFonts w:ascii="Times New Roman" w:eastAsia="SimSun" w:hAnsi="Times New Roman" w:cs="Times New Roman"/>
          <w:color w:val="000000"/>
        </w:rPr>
        <w:t xml:space="preserve">study </w:t>
      </w:r>
      <w:r>
        <w:rPr>
          <w:rFonts w:ascii="Times New Roman" w:eastAsia="SimSun" w:hAnsi="Times New Roman" w:cs="Times New Roman"/>
          <w:color w:val="000000"/>
        </w:rPr>
        <w:t>is to</w:t>
      </w:r>
      <w:r w:rsidR="00151D94">
        <w:rPr>
          <w:rFonts w:ascii="Times New Roman" w:eastAsia="SimSun" w:hAnsi="Times New Roman" w:cs="Times New Roman"/>
          <w:color w:val="000000"/>
        </w:rPr>
        <w:t xml:space="preserve"> demonstrate how the vendor-reported</w:t>
      </w:r>
      <w:r w:rsidR="0039075C">
        <w:rPr>
          <w:rFonts w:ascii="Times New Roman" w:eastAsia="SimSun" w:hAnsi="Times New Roman" w:cs="Times New Roman"/>
          <w:color w:val="000000"/>
        </w:rPr>
        <w:t>, self-generated</w:t>
      </w:r>
      <w:r w:rsidR="00151D94">
        <w:rPr>
          <w:rFonts w:ascii="Times New Roman" w:eastAsia="SimSun" w:hAnsi="Times New Roman" w:cs="Times New Roman"/>
          <w:color w:val="000000"/>
        </w:rPr>
        <w:t xml:space="preserve"> FSD is currently independently tested</w:t>
      </w:r>
      <w:r w:rsidR="003731C4">
        <w:rPr>
          <w:rFonts w:ascii="Times New Roman" w:eastAsia="SimSun" w:hAnsi="Times New Roman" w:cs="Times New Roman"/>
          <w:color w:val="000000"/>
        </w:rPr>
        <w:t>,</w:t>
      </w:r>
      <w:r w:rsidR="00151D94">
        <w:rPr>
          <w:rFonts w:ascii="Times New Roman" w:eastAsia="SimSun" w:hAnsi="Times New Roman" w:cs="Times New Roman"/>
          <w:color w:val="000000"/>
        </w:rPr>
        <w:t xml:space="preserve"> by third parties in the AVM industry</w:t>
      </w:r>
      <w:r w:rsidR="003731C4">
        <w:rPr>
          <w:rFonts w:ascii="Times New Roman" w:eastAsia="SimSun" w:hAnsi="Times New Roman" w:cs="Times New Roman"/>
          <w:color w:val="000000"/>
        </w:rPr>
        <w:t>,</w:t>
      </w:r>
      <w:r w:rsidR="003731C4" w:rsidRPr="003731C4">
        <w:rPr>
          <w:rFonts w:ascii="Times New Roman" w:eastAsia="SimSun" w:hAnsi="Times New Roman" w:cs="Times New Roman"/>
          <w:color w:val="000000"/>
        </w:rPr>
        <w:t xml:space="preserve"> </w:t>
      </w:r>
      <w:r w:rsidR="003731C4">
        <w:rPr>
          <w:rFonts w:ascii="Times New Roman" w:eastAsia="SimSun" w:hAnsi="Times New Roman" w:cs="Times New Roman"/>
          <w:color w:val="000000"/>
        </w:rPr>
        <w:t>using actual sales data</w:t>
      </w:r>
      <w:r w:rsidR="00151D94">
        <w:rPr>
          <w:rFonts w:ascii="Times New Roman" w:eastAsia="SimSun" w:hAnsi="Times New Roman" w:cs="Times New Roman"/>
          <w:color w:val="000000"/>
        </w:rPr>
        <w:t xml:space="preserve">. </w:t>
      </w:r>
      <w:r w:rsidR="007D7C8A">
        <w:rPr>
          <w:rFonts w:ascii="Times New Roman" w:eastAsia="SimSun" w:hAnsi="Times New Roman" w:cs="Times New Roman"/>
          <w:color w:val="000000"/>
        </w:rPr>
        <w:t xml:space="preserve"> </w:t>
      </w:r>
      <w:r w:rsidR="00151D94">
        <w:rPr>
          <w:rFonts w:ascii="Times New Roman" w:eastAsia="SimSun" w:hAnsi="Times New Roman" w:cs="Times New Roman"/>
          <w:color w:val="000000"/>
        </w:rPr>
        <w:t>In particular,</w:t>
      </w:r>
      <w:r w:rsidRPr="003C2B14">
        <w:rPr>
          <w:rFonts w:ascii="Times New Roman" w:eastAsia="SimSun" w:hAnsi="Times New Roman" w:cs="Times New Roman"/>
          <w:color w:val="000000"/>
        </w:rPr>
        <w:t xml:space="preserve"> the accuracy of the</w:t>
      </w:r>
      <w:r w:rsidR="00FD0118">
        <w:rPr>
          <w:rFonts w:ascii="Times New Roman" w:eastAsia="SimSun" w:hAnsi="Times New Roman" w:cs="Times New Roman"/>
          <w:color w:val="000000"/>
        </w:rPr>
        <w:t xml:space="preserve"> vendor-reported</w:t>
      </w:r>
      <w:r w:rsidRPr="003C2B14">
        <w:rPr>
          <w:rFonts w:ascii="Times New Roman" w:eastAsia="SimSun" w:hAnsi="Times New Roman" w:cs="Times New Roman"/>
          <w:color w:val="000000"/>
        </w:rPr>
        <w:t xml:space="preserve"> </w:t>
      </w:r>
      <w:r>
        <w:rPr>
          <w:rFonts w:ascii="Times New Roman" w:eastAsia="SimSun" w:hAnsi="Times New Roman" w:cs="Times New Roman"/>
          <w:color w:val="000000"/>
        </w:rPr>
        <w:t>FSD</w:t>
      </w:r>
      <w:r w:rsidR="00151D94">
        <w:rPr>
          <w:rFonts w:ascii="Times New Roman" w:eastAsia="SimSun" w:hAnsi="Times New Roman" w:cs="Times New Roman"/>
          <w:color w:val="000000"/>
        </w:rPr>
        <w:t xml:space="preserve"> is </w:t>
      </w:r>
      <w:r w:rsidR="00F757B6">
        <w:rPr>
          <w:rFonts w:ascii="Times New Roman" w:eastAsia="SimSun" w:hAnsi="Times New Roman" w:cs="Times New Roman"/>
          <w:color w:val="000000"/>
        </w:rPr>
        <w:t>corroborated</w:t>
      </w:r>
      <w:r w:rsidR="003731C4">
        <w:rPr>
          <w:rFonts w:ascii="Times New Roman" w:eastAsia="SimSun" w:hAnsi="Times New Roman" w:cs="Times New Roman"/>
          <w:color w:val="000000"/>
        </w:rPr>
        <w:t xml:space="preserve"> using</w:t>
      </w:r>
      <w:r w:rsidR="00BA66AA">
        <w:rPr>
          <w:rFonts w:ascii="Times New Roman" w:eastAsia="SimSun" w:hAnsi="Times New Roman" w:cs="Times New Roman"/>
          <w:color w:val="000000"/>
        </w:rPr>
        <w:t xml:space="preserve"> </w:t>
      </w:r>
      <w:r w:rsidRPr="003C2B14">
        <w:rPr>
          <w:rFonts w:ascii="Times New Roman" w:eastAsia="SimSun" w:hAnsi="Times New Roman" w:cs="Times New Roman"/>
          <w:color w:val="000000"/>
        </w:rPr>
        <w:t xml:space="preserve">455,563 </w:t>
      </w:r>
      <w:r w:rsidR="0086688F">
        <w:rPr>
          <w:rFonts w:ascii="Times New Roman" w:eastAsia="SimSun" w:hAnsi="Times New Roman" w:cs="Times New Roman"/>
          <w:color w:val="000000"/>
        </w:rPr>
        <w:t>properties</w:t>
      </w:r>
      <w:r w:rsidRPr="00A8208F">
        <w:rPr>
          <w:rFonts w:ascii="Times New Roman" w:eastAsia="SimSun" w:hAnsi="Times New Roman" w:cs="Times New Roman"/>
          <w:color w:val="000000"/>
        </w:rPr>
        <w:t xml:space="preserve"> </w:t>
      </w:r>
      <w:r w:rsidRPr="003C2B14">
        <w:rPr>
          <w:rFonts w:ascii="Times New Roman" w:eastAsia="SimSun" w:hAnsi="Times New Roman" w:cs="Times New Roman"/>
          <w:color w:val="000000"/>
        </w:rPr>
        <w:t>across the United States in the third quarter (July through September) of 2018</w:t>
      </w:r>
      <w:r>
        <w:rPr>
          <w:rFonts w:ascii="Times New Roman" w:eastAsia="SimSun" w:hAnsi="Times New Roman" w:cs="Times New Roman"/>
          <w:color w:val="000000"/>
        </w:rPr>
        <w:t xml:space="preserve">. </w:t>
      </w:r>
      <w:bookmarkStart w:id="5" w:name="_Hlk45796448"/>
      <w:r>
        <w:rPr>
          <w:rFonts w:ascii="Times New Roman" w:eastAsia="SimSun" w:hAnsi="Times New Roman" w:cs="Times New Roman"/>
          <w:color w:val="000000"/>
        </w:rPr>
        <w:t xml:space="preserve">Each of these 455,563 sales is </w:t>
      </w:r>
      <w:r w:rsidRPr="003C2B14">
        <w:rPr>
          <w:rFonts w:ascii="Times New Roman" w:eastAsia="SimSun" w:hAnsi="Times New Roman" w:cs="Times New Roman"/>
          <w:color w:val="000000"/>
        </w:rPr>
        <w:t xml:space="preserve">valued by as many as 15 </w:t>
      </w:r>
      <w:r>
        <w:rPr>
          <w:rFonts w:ascii="Times New Roman" w:eastAsia="SimSun" w:hAnsi="Times New Roman" w:cs="Times New Roman"/>
          <w:color w:val="000000"/>
        </w:rPr>
        <w:t xml:space="preserve">commercial </w:t>
      </w:r>
      <w:r w:rsidRPr="003C2B14">
        <w:rPr>
          <w:rFonts w:ascii="Times New Roman" w:eastAsia="SimSun" w:hAnsi="Times New Roman" w:cs="Times New Roman"/>
          <w:color w:val="000000"/>
        </w:rPr>
        <w:t>AVMs</w:t>
      </w:r>
      <w:r>
        <w:rPr>
          <w:rFonts w:ascii="Times New Roman" w:eastAsia="SimSun" w:hAnsi="Times New Roman" w:cs="Times New Roman"/>
          <w:color w:val="000000"/>
        </w:rPr>
        <w:t xml:space="preserve"> </w:t>
      </w:r>
      <w:r w:rsidRPr="003C2B14">
        <w:rPr>
          <w:rFonts w:ascii="Times New Roman" w:eastAsia="SimSun" w:hAnsi="Times New Roman" w:cs="Times New Roman"/>
          <w:color w:val="000000"/>
        </w:rPr>
        <w:t>(whose identities are blinded in this</w:t>
      </w:r>
      <w:r w:rsidR="00465148">
        <w:rPr>
          <w:rFonts w:ascii="Times New Roman" w:eastAsia="SimSun" w:hAnsi="Times New Roman" w:cs="Times New Roman"/>
          <w:color w:val="000000"/>
        </w:rPr>
        <w:t xml:space="preserve"> study</w:t>
      </w:r>
      <w:r w:rsidRPr="003C2B14">
        <w:rPr>
          <w:rFonts w:ascii="Times New Roman" w:eastAsia="SimSun" w:hAnsi="Times New Roman" w:cs="Times New Roman"/>
          <w:color w:val="000000"/>
        </w:rPr>
        <w:t xml:space="preserve"> for confidentiality reasons)</w:t>
      </w:r>
      <w:r w:rsidR="001E1AE7">
        <w:rPr>
          <w:rFonts w:ascii="Times New Roman" w:eastAsia="SimSun" w:hAnsi="Times New Roman" w:cs="Times New Roman"/>
          <w:color w:val="000000"/>
        </w:rPr>
        <w:t xml:space="preserve">, resulting in a total of 5.36 million </w:t>
      </w:r>
      <w:r w:rsidR="008B5496">
        <w:rPr>
          <w:rFonts w:ascii="Times New Roman" w:eastAsia="SimSun" w:hAnsi="Times New Roman" w:cs="Times New Roman"/>
          <w:color w:val="000000"/>
        </w:rPr>
        <w:t>AVM</w:t>
      </w:r>
      <w:r w:rsidR="001E1AE7">
        <w:rPr>
          <w:rFonts w:ascii="Times New Roman" w:eastAsia="SimSun" w:hAnsi="Times New Roman" w:cs="Times New Roman"/>
          <w:color w:val="000000"/>
        </w:rPr>
        <w:t xml:space="preserve"> valuations</w:t>
      </w:r>
      <w:r w:rsidR="00BA66AA">
        <w:rPr>
          <w:rFonts w:ascii="Times New Roman" w:eastAsia="SimSun" w:hAnsi="Times New Roman" w:cs="Times New Roman"/>
          <w:color w:val="000000"/>
        </w:rPr>
        <w:t xml:space="preserve">. </w:t>
      </w:r>
    </w:p>
    <w:bookmarkEnd w:id="5"/>
    <w:p w14:paraId="65C90647" w14:textId="1C3711D3" w:rsidR="00816AB1" w:rsidRDefault="0056705F" w:rsidP="00816AB1">
      <w:pPr>
        <w:tabs>
          <w:tab w:val="num" w:pos="720"/>
        </w:tabs>
        <w:spacing w:before="240" w:line="360" w:lineRule="auto"/>
        <w:ind w:firstLine="0"/>
        <w:jc w:val="both"/>
        <w:rPr>
          <w:rFonts w:ascii="Times New Roman" w:eastAsia="SimSun" w:hAnsi="Times New Roman" w:cs="Times New Roman"/>
          <w:color w:val="000000"/>
        </w:rPr>
      </w:pPr>
      <w:r>
        <w:rPr>
          <w:rFonts w:asciiTheme="majorHAnsi" w:hAnsiTheme="majorHAnsi" w:cstheme="majorHAnsi"/>
        </w:rPr>
        <w:t>AVM Performance Metrics</w:t>
      </w:r>
      <w:r w:rsidR="0065743F">
        <w:rPr>
          <w:rFonts w:asciiTheme="majorHAnsi" w:hAnsiTheme="majorHAnsi" w:cstheme="majorHAnsi"/>
        </w:rPr>
        <w:t xml:space="preserve"> </w:t>
      </w:r>
      <w:r>
        <w:rPr>
          <w:rFonts w:asciiTheme="majorHAnsi" w:hAnsiTheme="majorHAnsi" w:cstheme="majorHAnsi"/>
        </w:rPr>
        <w:t>seen in Exhibit 1</w:t>
      </w:r>
      <w:r w:rsidR="0065743F">
        <w:rPr>
          <w:rFonts w:asciiTheme="majorHAnsi" w:hAnsiTheme="majorHAnsi" w:cstheme="majorHAnsi"/>
        </w:rPr>
        <w:t xml:space="preserve"> </w:t>
      </w:r>
      <w:r>
        <w:rPr>
          <w:rFonts w:asciiTheme="majorHAnsi" w:hAnsiTheme="majorHAnsi" w:cstheme="majorHAnsi"/>
        </w:rPr>
        <w:t>include t</w:t>
      </w:r>
      <w:r w:rsidR="00B4720E">
        <w:rPr>
          <w:rFonts w:asciiTheme="majorHAnsi" w:hAnsiTheme="majorHAnsi" w:cstheme="majorHAnsi"/>
        </w:rPr>
        <w:t>he Failure Rate of an AVM</w:t>
      </w:r>
      <w:r w:rsidR="00D10741">
        <w:rPr>
          <w:rFonts w:asciiTheme="majorHAnsi" w:hAnsiTheme="majorHAnsi" w:cstheme="majorHAnsi"/>
        </w:rPr>
        <w:t>,</w:t>
      </w:r>
      <w:r w:rsidR="00D10741">
        <w:rPr>
          <w:rStyle w:val="FootnoteReference"/>
          <w:rFonts w:asciiTheme="majorHAnsi" w:hAnsiTheme="majorHAnsi" w:cstheme="majorHAnsi"/>
        </w:rPr>
        <w:footnoteReference w:id="16"/>
      </w:r>
      <w:r>
        <w:rPr>
          <w:rFonts w:asciiTheme="majorHAnsi" w:hAnsiTheme="majorHAnsi" w:cstheme="majorHAnsi"/>
        </w:rPr>
        <w:t xml:space="preserve"> which</w:t>
      </w:r>
      <w:r w:rsidR="000559F0">
        <w:rPr>
          <w:rFonts w:asciiTheme="majorHAnsi" w:hAnsiTheme="majorHAnsi" w:cstheme="majorHAnsi"/>
        </w:rPr>
        <w:t xml:space="preserve"> </w:t>
      </w:r>
      <w:r w:rsidR="00B4720E">
        <w:rPr>
          <w:rFonts w:asciiTheme="majorHAnsi" w:hAnsiTheme="majorHAnsi" w:cstheme="majorHAnsi"/>
        </w:rPr>
        <w:t xml:space="preserve">is the percentage of </w:t>
      </w:r>
      <w:r w:rsidR="00B4720E">
        <w:t>properties for which the AVM fails to predict selling prices accurately, to within a</w:t>
      </w:r>
      <w:r>
        <w:t xml:space="preserve"> specified</w:t>
      </w:r>
      <w:r w:rsidR="00B4720E">
        <w:t xml:space="preserve"> +/- factor of precision (</w:t>
      </w:r>
      <w:r w:rsidR="007E40F0" w:rsidRPr="008271A2">
        <w:t>e</w:t>
      </w:r>
      <w:r w:rsidR="00B4720E" w:rsidRPr="008271A2">
        <w:t>.</w:t>
      </w:r>
      <w:r w:rsidR="007E40F0" w:rsidRPr="008271A2">
        <w:t>g.</w:t>
      </w:r>
      <w:r w:rsidR="00B4720E">
        <w:t xml:space="preserve"> 5, 10, 15 and 20 percent)</w:t>
      </w:r>
      <w:r w:rsidR="0076323E">
        <w:t>. The Failure Rate</w:t>
      </w:r>
      <w:r w:rsidR="00B4720E">
        <w:t xml:space="preserve"> is the complement </w:t>
      </w:r>
      <w:r w:rsidR="00E66726">
        <w:t>of</w:t>
      </w:r>
      <w:r w:rsidR="00B4720E">
        <w:t xml:space="preserve"> the Percent (Predicted) Error (“PE”) bucket</w:t>
      </w:r>
      <w:r w:rsidR="000559F0">
        <w:t xml:space="preserve">, a popular metric also </w:t>
      </w:r>
      <w:r w:rsidR="007D7C8A">
        <w:t>reported</w:t>
      </w:r>
      <w:r w:rsidR="000559F0">
        <w:t xml:space="preserve"> in Exhibit 1</w:t>
      </w:r>
      <w:r w:rsidR="00B4720E">
        <w:t xml:space="preserve">. Also, for each Failure Rate (at a given +/- percent), the </w:t>
      </w:r>
      <w:r w:rsidR="00B4720E">
        <w:rPr>
          <w:rFonts w:asciiTheme="majorHAnsi" w:hAnsiTheme="majorHAnsi" w:cstheme="majorHAnsi"/>
        </w:rPr>
        <w:t>Failure Magnitude and Failure MAPE are the mean and median percentage sales error for all sales that were in error by more than the given +/- percent</w:t>
      </w:r>
      <w:r w:rsidR="00CF4F2A">
        <w:rPr>
          <w:rFonts w:asciiTheme="majorHAnsi" w:hAnsiTheme="majorHAnsi" w:cstheme="majorHAnsi"/>
        </w:rPr>
        <w:t>age</w:t>
      </w:r>
      <w:r w:rsidR="00B4720E">
        <w:rPr>
          <w:rFonts w:asciiTheme="majorHAnsi" w:hAnsiTheme="majorHAnsi" w:cstheme="majorHAnsi"/>
        </w:rPr>
        <w:t>, respectively. T</w:t>
      </w:r>
      <w:bookmarkStart w:id="6" w:name="_Hlk18219318"/>
      <w:r w:rsidR="00B4720E" w:rsidRPr="00D95704">
        <w:rPr>
          <w:rFonts w:ascii="Times New Roman" w:eastAsia="SimSun" w:hAnsi="Times New Roman" w:cs="Times New Roman"/>
          <w:color w:val="000000"/>
        </w:rPr>
        <w:t>he F</w:t>
      </w:r>
      <w:r w:rsidR="00B4720E">
        <w:rPr>
          <w:rFonts w:ascii="Times New Roman" w:eastAsia="SimSun" w:hAnsi="Times New Roman" w:cs="Times New Roman"/>
          <w:color w:val="000000"/>
        </w:rPr>
        <w:t>ailure Rate</w:t>
      </w:r>
      <w:r w:rsidR="00B4720E" w:rsidRPr="00D95704">
        <w:rPr>
          <w:rFonts w:ascii="Times New Roman" w:eastAsia="SimSun" w:hAnsi="Times New Roman" w:cs="Times New Roman"/>
          <w:color w:val="000000"/>
        </w:rPr>
        <w:t xml:space="preserve"> counts (</w:t>
      </w:r>
      <w:r w:rsidR="00B4720E">
        <w:rPr>
          <w:rFonts w:ascii="Times New Roman" w:eastAsia="SimSun" w:hAnsi="Times New Roman" w:cs="Times New Roman"/>
          <w:color w:val="000000"/>
        </w:rPr>
        <w:t xml:space="preserve">the </w:t>
      </w:r>
      <w:r w:rsidR="00B4720E" w:rsidRPr="00D95704">
        <w:rPr>
          <w:rFonts w:ascii="Times New Roman" w:eastAsia="SimSun" w:hAnsi="Times New Roman" w:cs="Times New Roman"/>
          <w:color w:val="000000"/>
        </w:rPr>
        <w:t>percentage</w:t>
      </w:r>
      <w:r w:rsidR="00B4720E">
        <w:rPr>
          <w:rFonts w:ascii="Times New Roman" w:eastAsia="SimSun" w:hAnsi="Times New Roman" w:cs="Times New Roman"/>
          <w:color w:val="000000"/>
        </w:rPr>
        <w:t xml:space="preserve"> of</w:t>
      </w:r>
      <w:r w:rsidR="00B4720E" w:rsidRPr="00D95704">
        <w:rPr>
          <w:rFonts w:ascii="Times New Roman" w:eastAsia="SimSun" w:hAnsi="Times New Roman" w:cs="Times New Roman"/>
          <w:color w:val="000000"/>
        </w:rPr>
        <w:t xml:space="preserve">) </w:t>
      </w:r>
      <w:r w:rsidR="00B4720E" w:rsidRPr="005B71BF">
        <w:rPr>
          <w:rFonts w:ascii="Times New Roman" w:eastAsia="SimSun" w:hAnsi="Times New Roman" w:cs="Times New Roman"/>
          <w:color w:val="000000"/>
        </w:rPr>
        <w:t>properties for which the AVM fails to predict selling prices accurately, to within</w:t>
      </w:r>
      <w:r w:rsidR="00AF10AE">
        <w:rPr>
          <w:rFonts w:ascii="Times New Roman" w:eastAsia="SimSun" w:hAnsi="Times New Roman" w:cs="Times New Roman"/>
          <w:color w:val="000000"/>
        </w:rPr>
        <w:t>,</w:t>
      </w:r>
      <w:r w:rsidR="00B4720E" w:rsidRPr="005B71BF">
        <w:rPr>
          <w:rFonts w:ascii="Times New Roman" w:eastAsia="SimSun" w:hAnsi="Times New Roman" w:cs="Times New Roman"/>
          <w:color w:val="000000"/>
        </w:rPr>
        <w:t xml:space="preserve"> </w:t>
      </w:r>
      <w:r w:rsidR="00B4720E">
        <w:rPr>
          <w:rFonts w:ascii="Times New Roman" w:eastAsia="SimSun" w:hAnsi="Times New Roman" w:cs="Times New Roman"/>
          <w:color w:val="000000"/>
        </w:rPr>
        <w:t xml:space="preserve">for example, </w:t>
      </w:r>
      <w:r w:rsidR="00B4720E" w:rsidRPr="005B71BF">
        <w:rPr>
          <w:rFonts w:ascii="Times New Roman" w:eastAsia="SimSun" w:hAnsi="Times New Roman" w:cs="Times New Roman"/>
          <w:color w:val="000000"/>
        </w:rPr>
        <w:t xml:space="preserve">+/- </w:t>
      </w:r>
      <w:r w:rsidR="00B4720E">
        <w:rPr>
          <w:rFonts w:ascii="Times New Roman" w:eastAsia="SimSun" w:hAnsi="Times New Roman" w:cs="Times New Roman"/>
          <w:color w:val="000000"/>
        </w:rPr>
        <w:t>10</w:t>
      </w:r>
      <w:r w:rsidR="00B4720E" w:rsidRPr="005B71BF">
        <w:rPr>
          <w:rFonts w:ascii="Times New Roman" w:eastAsia="SimSun" w:hAnsi="Times New Roman" w:cs="Times New Roman"/>
          <w:color w:val="000000"/>
        </w:rPr>
        <w:t xml:space="preserve"> percent</w:t>
      </w:r>
      <w:r w:rsidR="00B4720E">
        <w:rPr>
          <w:rFonts w:ascii="Times New Roman" w:eastAsia="SimSun" w:hAnsi="Times New Roman" w:cs="Times New Roman"/>
          <w:color w:val="000000"/>
        </w:rPr>
        <w:t>,</w:t>
      </w:r>
      <w:r w:rsidR="00B4720E" w:rsidRPr="00D95704">
        <w:rPr>
          <w:rFonts w:ascii="Times New Roman" w:eastAsia="SimSun" w:hAnsi="Times New Roman" w:cs="Times New Roman"/>
          <w:color w:val="000000"/>
        </w:rPr>
        <w:t xml:space="preserve"> while the F</w:t>
      </w:r>
      <w:r w:rsidR="00B4720E">
        <w:rPr>
          <w:rFonts w:ascii="Times New Roman" w:eastAsia="SimSun" w:hAnsi="Times New Roman" w:cs="Times New Roman"/>
          <w:color w:val="000000"/>
        </w:rPr>
        <w:t xml:space="preserve">ailure </w:t>
      </w:r>
      <w:r w:rsidR="00B4720E" w:rsidRPr="00D95704">
        <w:rPr>
          <w:rFonts w:ascii="Times New Roman" w:eastAsia="SimSun" w:hAnsi="Times New Roman" w:cs="Times New Roman"/>
          <w:color w:val="000000"/>
        </w:rPr>
        <w:t>M</w:t>
      </w:r>
      <w:r w:rsidR="00B4720E">
        <w:rPr>
          <w:rFonts w:ascii="Times New Roman" w:eastAsia="SimSun" w:hAnsi="Times New Roman" w:cs="Times New Roman"/>
          <w:color w:val="000000"/>
        </w:rPr>
        <w:t>agnitude and Failure MAPE measure the mean and median absolute percentage sales</w:t>
      </w:r>
      <w:r w:rsidR="00B4720E" w:rsidRPr="00D95704">
        <w:rPr>
          <w:rFonts w:ascii="Times New Roman" w:eastAsia="SimSun" w:hAnsi="Times New Roman" w:cs="Times New Roman"/>
          <w:color w:val="000000"/>
        </w:rPr>
        <w:t xml:space="preserve"> error</w:t>
      </w:r>
      <w:r w:rsidR="00B4720E">
        <w:rPr>
          <w:rFonts w:ascii="Times New Roman" w:eastAsia="SimSun" w:hAnsi="Times New Roman" w:cs="Times New Roman"/>
          <w:color w:val="000000"/>
        </w:rPr>
        <w:t>,</w:t>
      </w:r>
      <w:r w:rsidR="00B4720E" w:rsidRPr="00D95704">
        <w:rPr>
          <w:rFonts w:ascii="Times New Roman" w:eastAsia="SimSun" w:hAnsi="Times New Roman" w:cs="Times New Roman"/>
          <w:color w:val="000000"/>
        </w:rPr>
        <w:t xml:space="preserve"> </w:t>
      </w:r>
      <w:r w:rsidR="00B4720E">
        <w:rPr>
          <w:rFonts w:ascii="Times New Roman" w:eastAsia="SimSun" w:hAnsi="Times New Roman" w:cs="Times New Roman"/>
          <w:color w:val="000000"/>
        </w:rPr>
        <w:t>respectively</w:t>
      </w:r>
      <w:r w:rsidR="00B4720E" w:rsidRPr="00D95704">
        <w:rPr>
          <w:rFonts w:ascii="Times New Roman" w:eastAsia="SimSun" w:hAnsi="Times New Roman" w:cs="Times New Roman"/>
          <w:color w:val="000000"/>
        </w:rPr>
        <w:t xml:space="preserve"> for those poorly predicted sales</w:t>
      </w:r>
      <w:bookmarkEnd w:id="6"/>
      <w:r w:rsidR="00B4720E" w:rsidRPr="00D95704">
        <w:rPr>
          <w:rFonts w:ascii="Times New Roman" w:eastAsia="SimSun" w:hAnsi="Times New Roman" w:cs="Times New Roman"/>
          <w:color w:val="000000"/>
        </w:rPr>
        <w:t>.</w:t>
      </w:r>
      <w:r w:rsidR="00B4720E">
        <w:rPr>
          <w:rFonts w:ascii="Times New Roman" w:eastAsia="SimSun" w:hAnsi="Times New Roman" w:cs="Times New Roman"/>
          <w:color w:val="000000"/>
        </w:rPr>
        <w:t xml:space="preserve"> These three AVM Performance Metrics assess the impact of the AVM’s extreme prediction</w:t>
      </w:r>
      <w:r w:rsidR="007D7C8A">
        <w:rPr>
          <w:rFonts w:ascii="Times New Roman" w:eastAsia="SimSun" w:hAnsi="Times New Roman" w:cs="Times New Roman"/>
          <w:color w:val="000000"/>
        </w:rPr>
        <w:t xml:space="preserve"> errors</w:t>
      </w:r>
      <w:r w:rsidR="00B4720E">
        <w:rPr>
          <w:rFonts w:ascii="Times New Roman" w:eastAsia="SimSun" w:hAnsi="Times New Roman" w:cs="Times New Roman"/>
          <w:color w:val="000000"/>
        </w:rPr>
        <w:t xml:space="preserve"> or outliers.</w:t>
      </w:r>
      <w:r w:rsidR="004D478B">
        <w:rPr>
          <w:rFonts w:ascii="Times New Roman" w:eastAsia="SimSun" w:hAnsi="Times New Roman" w:cs="Times New Roman"/>
          <w:color w:val="000000"/>
        </w:rPr>
        <w:t xml:space="preserve"> </w:t>
      </w:r>
    </w:p>
    <w:p w14:paraId="01E9124D" w14:textId="1D5CF40F" w:rsidR="00290FFA" w:rsidRDefault="00B4720E" w:rsidP="00816AB1">
      <w:pPr>
        <w:tabs>
          <w:tab w:val="num" w:pos="720"/>
        </w:tabs>
        <w:spacing w:before="240" w:line="360" w:lineRule="auto"/>
        <w:ind w:firstLine="0"/>
        <w:jc w:val="both"/>
        <w:rPr>
          <w:rFonts w:ascii="Times New Roman" w:hAnsi="Times New Roman" w:cs="Times New Roman"/>
        </w:rPr>
      </w:pPr>
      <w:r>
        <w:rPr>
          <w:rFonts w:asciiTheme="majorHAnsi" w:hAnsiTheme="majorHAnsi" w:cstheme="majorHAnsi"/>
        </w:rPr>
        <w:t xml:space="preserve">As seen in Exhibit 1, </w:t>
      </w:r>
      <w:r>
        <w:t xml:space="preserve">the Right Tail 20% (“RT20”) metric measures the percentage of properties whose AVM valuation exceeds its corresponding selling price by more than 20 percent. RT20 indicates the </w:t>
      </w:r>
      <w:r w:rsidRPr="003A5A6C">
        <w:rPr>
          <w:rFonts w:ascii="Times New Roman" w:hAnsi="Times New Roman" w:cs="Times New Roman"/>
        </w:rPr>
        <w:t xml:space="preserve">potential overvaluation </w:t>
      </w:r>
      <w:r>
        <w:rPr>
          <w:rFonts w:ascii="Times New Roman" w:hAnsi="Times New Roman" w:cs="Times New Roman"/>
        </w:rPr>
        <w:t>that</w:t>
      </w:r>
      <w:r w:rsidRPr="003A5A6C">
        <w:rPr>
          <w:rFonts w:ascii="Times New Roman" w:hAnsi="Times New Roman" w:cs="Times New Roman"/>
        </w:rPr>
        <w:t xml:space="preserve"> can expose </w:t>
      </w:r>
      <w:r>
        <w:rPr>
          <w:rFonts w:ascii="Times New Roman" w:hAnsi="Times New Roman" w:cs="Times New Roman"/>
        </w:rPr>
        <w:t>a</w:t>
      </w:r>
      <w:r w:rsidRPr="003A5A6C">
        <w:rPr>
          <w:rFonts w:ascii="Times New Roman" w:hAnsi="Times New Roman" w:cs="Times New Roman"/>
        </w:rPr>
        <w:t xml:space="preserve"> lender to </w:t>
      </w:r>
      <w:r>
        <w:rPr>
          <w:rFonts w:ascii="Times New Roman" w:hAnsi="Times New Roman" w:cs="Times New Roman"/>
        </w:rPr>
        <w:t>more</w:t>
      </w:r>
      <w:r w:rsidRPr="003A5A6C">
        <w:rPr>
          <w:rFonts w:ascii="Times New Roman" w:hAnsi="Times New Roman" w:cs="Times New Roman"/>
        </w:rPr>
        <w:t xml:space="preserve"> risk</w:t>
      </w:r>
      <w:r>
        <w:rPr>
          <w:rFonts w:ascii="Times New Roman" w:hAnsi="Times New Roman" w:cs="Times New Roman"/>
        </w:rPr>
        <w:t xml:space="preserve"> than factored into an original loan-to-value ratio (</w:t>
      </w:r>
      <w:r w:rsidR="00380127">
        <w:rPr>
          <w:rFonts w:ascii="Times New Roman" w:hAnsi="Times New Roman" w:cs="Times New Roman"/>
        </w:rPr>
        <w:t>typically</w:t>
      </w:r>
      <w:r>
        <w:rPr>
          <w:rFonts w:ascii="Times New Roman" w:hAnsi="Times New Roman" w:cs="Times New Roman"/>
        </w:rPr>
        <w:t xml:space="preserve"> 80 percent). </w:t>
      </w:r>
      <w:r w:rsidR="0076323E">
        <w:rPr>
          <w:rFonts w:ascii="Times New Roman" w:hAnsi="Times New Roman" w:cs="Times New Roman"/>
        </w:rPr>
        <w:t xml:space="preserve"> </w:t>
      </w:r>
      <w:r w:rsidR="00EF2262" w:rsidRPr="004D478B">
        <w:rPr>
          <w:rFonts w:ascii="Times New Roman" w:hAnsi="Times New Roman" w:cs="Times New Roman"/>
        </w:rPr>
        <w:t xml:space="preserve">An additional </w:t>
      </w:r>
      <w:r w:rsidR="00AD5036">
        <w:rPr>
          <w:rFonts w:ascii="Times New Roman" w:hAnsi="Times New Roman" w:cs="Times New Roman"/>
        </w:rPr>
        <w:t>metric</w:t>
      </w:r>
      <w:r w:rsidR="00EF2262" w:rsidRPr="004D478B">
        <w:rPr>
          <w:rFonts w:ascii="Times New Roman" w:hAnsi="Times New Roman" w:cs="Times New Roman"/>
        </w:rPr>
        <w:t xml:space="preserve"> is the +/- 1 FSD criterion, </w:t>
      </w:r>
      <w:r w:rsidR="00F77F3E">
        <w:rPr>
          <w:rFonts w:ascii="Times New Roman" w:hAnsi="Times New Roman" w:cs="Times New Roman"/>
        </w:rPr>
        <w:t>which is t</w:t>
      </w:r>
      <w:r w:rsidR="00F77F3E" w:rsidRPr="00F77F3E">
        <w:rPr>
          <w:rFonts w:ascii="Times New Roman" w:hAnsi="Times New Roman" w:cs="Times New Roman"/>
        </w:rPr>
        <w:t>he percent of AVM valuations within one FSD of selling prices</w:t>
      </w:r>
      <w:r w:rsidR="00EF2262" w:rsidRPr="004D478B">
        <w:rPr>
          <w:rFonts w:ascii="Times New Roman" w:hAnsi="Times New Roman" w:cs="Times New Roman"/>
        </w:rPr>
        <w:t>.</w:t>
      </w:r>
      <w:r w:rsidR="007D2F9F">
        <w:rPr>
          <w:rFonts w:ascii="Times New Roman" w:hAnsi="Times New Roman" w:cs="Times New Roman"/>
        </w:rPr>
        <w:t xml:space="preserve"> </w:t>
      </w:r>
      <w:r w:rsidR="00D10741">
        <w:rPr>
          <w:rFonts w:ascii="Times New Roman" w:hAnsi="Times New Roman" w:cs="Times New Roman"/>
        </w:rPr>
        <w:t>A frequent</w:t>
      </w:r>
      <w:r w:rsidR="00EF2262" w:rsidRPr="00043E61">
        <w:rPr>
          <w:rFonts w:ascii="Times New Roman" w:hAnsi="Times New Roman" w:cs="Times New Roman"/>
        </w:rPr>
        <w:t xml:space="preserve"> industry </w:t>
      </w:r>
      <w:r w:rsidR="00EF2262" w:rsidRPr="00043E61">
        <w:rPr>
          <w:rFonts w:ascii="Times New Roman" w:hAnsi="Times New Roman" w:cs="Times New Roman"/>
        </w:rPr>
        <w:lastRenderedPageBreak/>
        <w:t>interpretation of the FSD is</w:t>
      </w:r>
      <w:r w:rsidR="00EF2262">
        <w:rPr>
          <w:rFonts w:ascii="Times New Roman" w:hAnsi="Times New Roman" w:cs="Times New Roman"/>
        </w:rPr>
        <w:t xml:space="preserve"> </w:t>
      </w:r>
      <w:r w:rsidR="00EF2262" w:rsidRPr="00043E61">
        <w:rPr>
          <w:rFonts w:ascii="Times New Roman" w:hAnsi="Times New Roman" w:cs="Times New Roman"/>
        </w:rPr>
        <w:t>that one can be 68.26% confident that the true market</w:t>
      </w:r>
      <w:r w:rsidR="00EF2262">
        <w:rPr>
          <w:rFonts w:ascii="Times New Roman" w:hAnsi="Times New Roman" w:cs="Times New Roman"/>
        </w:rPr>
        <w:t xml:space="preserve"> </w:t>
      </w:r>
      <w:r w:rsidR="00EF2262" w:rsidRPr="00043E61">
        <w:rPr>
          <w:rFonts w:ascii="Times New Roman" w:hAnsi="Times New Roman" w:cs="Times New Roman"/>
        </w:rPr>
        <w:t xml:space="preserve">value of a target property lies within </w:t>
      </w:r>
      <w:r w:rsidR="00EF2262">
        <w:rPr>
          <w:rFonts w:ascii="Times New Roman" w:hAnsi="Times New Roman" w:cs="Times New Roman"/>
        </w:rPr>
        <w:t>+/-</w:t>
      </w:r>
      <w:r w:rsidR="00EF2262" w:rsidRPr="00043E61">
        <w:rPr>
          <w:rFonts w:ascii="Times New Roman" w:hAnsi="Times New Roman" w:cs="Times New Roman"/>
        </w:rPr>
        <w:t xml:space="preserve"> 1 FSD</w:t>
      </w:r>
      <w:r w:rsidR="00EF2262">
        <w:rPr>
          <w:rFonts w:ascii="Times New Roman" w:hAnsi="Times New Roman" w:cs="Times New Roman"/>
        </w:rPr>
        <w:t xml:space="preserve"> </w:t>
      </w:r>
      <w:r w:rsidR="00EF2262" w:rsidRPr="00043E61">
        <w:rPr>
          <w:rFonts w:ascii="Times New Roman" w:hAnsi="Times New Roman" w:cs="Times New Roman"/>
        </w:rPr>
        <w:t>of the AVM valuation</w:t>
      </w:r>
      <w:r w:rsidR="00EF2262">
        <w:rPr>
          <w:rFonts w:ascii="Times New Roman" w:hAnsi="Times New Roman" w:cs="Times New Roman"/>
        </w:rPr>
        <w:t>.</w:t>
      </w:r>
      <w:r w:rsidR="00D10741">
        <w:rPr>
          <w:rFonts w:ascii="Times New Roman" w:hAnsi="Times New Roman" w:cs="Times New Roman"/>
        </w:rPr>
        <w:t xml:space="preserve"> However, an assumption of </w:t>
      </w:r>
      <w:r w:rsidR="00D10741" w:rsidRPr="009373A5">
        <w:rPr>
          <w:rFonts w:ascii="Times New Roman" w:hAnsi="Times New Roman" w:cs="Times New Roman"/>
        </w:rPr>
        <w:t>normality</w:t>
      </w:r>
      <w:r w:rsidR="00D10741">
        <w:rPr>
          <w:rFonts w:ascii="Times New Roman" w:hAnsi="Times New Roman" w:cs="Times New Roman"/>
        </w:rPr>
        <w:t xml:space="preserve"> is required to make this interpretation. </w:t>
      </w:r>
    </w:p>
    <w:p w14:paraId="095A327E" w14:textId="793BCBFC" w:rsidR="00290FFA" w:rsidRPr="00290FFA" w:rsidRDefault="00290FFA" w:rsidP="00290FFA">
      <w:pPr>
        <w:spacing w:before="240" w:line="360" w:lineRule="auto"/>
        <w:ind w:firstLine="0"/>
        <w:jc w:val="both"/>
        <w:rPr>
          <w:rFonts w:asciiTheme="majorHAnsi" w:hAnsiTheme="majorHAnsi" w:cstheme="majorHAnsi"/>
        </w:rPr>
      </w:pPr>
      <w:r w:rsidRPr="00290FFA">
        <w:rPr>
          <w:rFonts w:asciiTheme="majorHAnsi" w:hAnsiTheme="majorHAnsi" w:cstheme="majorHAnsi"/>
        </w:rPr>
        <w:t>AVM vendors typically provide Confidence Scores</w:t>
      </w:r>
      <w:r>
        <w:rPr>
          <w:rFonts w:asciiTheme="majorHAnsi" w:hAnsiTheme="majorHAnsi" w:cstheme="majorHAnsi"/>
        </w:rPr>
        <w:t>,</w:t>
      </w:r>
      <w:r w:rsidRPr="00290FFA">
        <w:rPr>
          <w:rFonts w:asciiTheme="majorHAnsi" w:hAnsiTheme="majorHAnsi" w:cstheme="majorHAnsi"/>
        </w:rPr>
        <w:t xml:space="preserve"> along with FSD</w:t>
      </w:r>
      <w:r w:rsidR="006310AE">
        <w:rPr>
          <w:rFonts w:asciiTheme="majorHAnsi" w:hAnsiTheme="majorHAnsi" w:cstheme="majorHAnsi"/>
        </w:rPr>
        <w:t>, and a</w:t>
      </w:r>
      <w:r w:rsidRPr="00290FFA">
        <w:rPr>
          <w:rFonts w:asciiTheme="majorHAnsi" w:hAnsiTheme="majorHAnsi" w:cstheme="majorHAnsi"/>
        </w:rPr>
        <w:t xml:space="preserve">s seen in Exhibit 1, </w:t>
      </w:r>
      <w:r w:rsidR="006310AE">
        <w:rPr>
          <w:rFonts w:asciiTheme="majorHAnsi" w:hAnsiTheme="majorHAnsi" w:cstheme="majorHAnsi"/>
        </w:rPr>
        <w:t>a</w:t>
      </w:r>
      <w:r w:rsidRPr="00290FFA">
        <w:rPr>
          <w:rFonts w:asciiTheme="majorHAnsi" w:hAnsiTheme="majorHAnsi" w:cstheme="majorHAnsi"/>
        </w:rPr>
        <w:t xml:space="preserve"> Confidence </w:t>
      </w:r>
      <w:r w:rsidR="006310AE">
        <w:rPr>
          <w:rFonts w:asciiTheme="majorHAnsi" w:hAnsiTheme="majorHAnsi" w:cstheme="majorHAnsi"/>
        </w:rPr>
        <w:t>S</w:t>
      </w:r>
      <w:r w:rsidRPr="00290FFA">
        <w:rPr>
          <w:rFonts w:asciiTheme="majorHAnsi" w:hAnsiTheme="majorHAnsi" w:cstheme="majorHAnsi"/>
        </w:rPr>
        <w:t>core also indicates the model’s confidence in its AVM valuation. </w:t>
      </w:r>
      <w:r>
        <w:rPr>
          <w:rFonts w:asciiTheme="majorHAnsi" w:hAnsiTheme="majorHAnsi" w:cstheme="majorHAnsi"/>
        </w:rPr>
        <w:t xml:space="preserve"> </w:t>
      </w:r>
      <w:r w:rsidRPr="00290FFA">
        <w:rPr>
          <w:rFonts w:asciiTheme="majorHAnsi" w:hAnsiTheme="majorHAnsi" w:cstheme="majorHAnsi"/>
        </w:rPr>
        <w:t>Confidence Scores can be related to FSDs (Gordon, 2005) but, unfortunately, like the FSD, their definition and use are not consistent across AVM vendors</w:t>
      </w:r>
      <w:r>
        <w:rPr>
          <w:rFonts w:asciiTheme="majorHAnsi" w:hAnsiTheme="majorHAnsi" w:cstheme="majorHAnsi"/>
        </w:rPr>
        <w:t xml:space="preserve"> (Ecker et al. 2021). </w:t>
      </w:r>
      <w:r w:rsidRPr="00290FFA">
        <w:rPr>
          <w:rFonts w:asciiTheme="majorHAnsi" w:hAnsiTheme="majorHAnsi" w:cstheme="majorHAnsi"/>
        </w:rPr>
        <w:t xml:space="preserve"> AVM users</w:t>
      </w:r>
      <w:r>
        <w:rPr>
          <w:rFonts w:asciiTheme="majorHAnsi" w:hAnsiTheme="majorHAnsi" w:cstheme="majorHAnsi"/>
        </w:rPr>
        <w:t>, however,</w:t>
      </w:r>
      <w:r w:rsidRPr="00290FFA">
        <w:rPr>
          <w:rFonts w:asciiTheme="majorHAnsi" w:hAnsiTheme="majorHAnsi" w:cstheme="majorHAnsi"/>
        </w:rPr>
        <w:t xml:space="preserve"> have started to view the FSD as the next generation </w:t>
      </w:r>
      <w:r>
        <w:rPr>
          <w:rFonts w:asciiTheme="majorHAnsi" w:hAnsiTheme="majorHAnsi" w:cstheme="majorHAnsi"/>
        </w:rPr>
        <w:t>c</w:t>
      </w:r>
      <w:r w:rsidRPr="00290FFA">
        <w:rPr>
          <w:rFonts w:asciiTheme="majorHAnsi" w:hAnsiTheme="majorHAnsi" w:cstheme="majorHAnsi"/>
        </w:rPr>
        <w:t xml:space="preserve">onfidence </w:t>
      </w:r>
      <w:r>
        <w:rPr>
          <w:rFonts w:asciiTheme="majorHAnsi" w:hAnsiTheme="majorHAnsi" w:cstheme="majorHAnsi"/>
        </w:rPr>
        <w:t>s</w:t>
      </w:r>
      <w:r w:rsidRPr="00290FFA">
        <w:rPr>
          <w:rFonts w:asciiTheme="majorHAnsi" w:hAnsiTheme="majorHAnsi" w:cstheme="majorHAnsi"/>
        </w:rPr>
        <w:t>coring method in efforts to come up with a more universal self-scoring metric.</w:t>
      </w:r>
    </w:p>
    <w:p w14:paraId="65A98C5C" w14:textId="77E4B294" w:rsidR="005726E4" w:rsidRPr="005726E4" w:rsidRDefault="00290FFA" w:rsidP="005726E4">
      <w:pPr>
        <w:spacing w:before="240" w:line="360" w:lineRule="auto"/>
        <w:ind w:firstLine="0"/>
        <w:jc w:val="both"/>
        <w:rPr>
          <w:rFonts w:asciiTheme="majorHAnsi" w:hAnsiTheme="majorHAnsi" w:cstheme="majorHAnsi"/>
        </w:rPr>
      </w:pPr>
      <w:r>
        <w:rPr>
          <w:rFonts w:asciiTheme="majorHAnsi" w:hAnsiTheme="majorHAnsi" w:cstheme="majorHAnsi"/>
        </w:rPr>
        <w:t xml:space="preserve">Four </w:t>
      </w:r>
      <w:r w:rsidR="00555300" w:rsidRPr="00555300">
        <w:rPr>
          <w:rFonts w:asciiTheme="majorHAnsi" w:hAnsiTheme="majorHAnsi" w:cstheme="majorHAnsi"/>
        </w:rPr>
        <w:t>International Association of Assessing Officers</w:t>
      </w:r>
      <w:r w:rsidR="00BD3E27">
        <w:rPr>
          <w:rFonts w:asciiTheme="majorHAnsi" w:hAnsiTheme="majorHAnsi" w:cstheme="majorHAnsi"/>
        </w:rPr>
        <w:t xml:space="preserve"> (“IAAO”)</w:t>
      </w:r>
      <w:r w:rsidR="00555300">
        <w:rPr>
          <w:rFonts w:asciiTheme="majorHAnsi" w:hAnsiTheme="majorHAnsi" w:cstheme="majorHAnsi"/>
        </w:rPr>
        <w:t xml:space="preserve"> metrics</w:t>
      </w:r>
      <w:r w:rsidR="00EF2262">
        <w:rPr>
          <w:rFonts w:asciiTheme="majorHAnsi" w:hAnsiTheme="majorHAnsi" w:cstheme="majorHAnsi"/>
        </w:rPr>
        <w:t xml:space="preserve"> are </w:t>
      </w:r>
      <w:r w:rsidR="007D2F9F">
        <w:rPr>
          <w:rFonts w:asciiTheme="majorHAnsi" w:hAnsiTheme="majorHAnsi" w:cstheme="majorHAnsi"/>
        </w:rPr>
        <w:t xml:space="preserve">also </w:t>
      </w:r>
      <w:r w:rsidR="00EF2262">
        <w:rPr>
          <w:rFonts w:asciiTheme="majorHAnsi" w:hAnsiTheme="majorHAnsi" w:cstheme="majorHAnsi"/>
        </w:rPr>
        <w:t>seen in Exhibit 1</w:t>
      </w:r>
      <w:r w:rsidR="005726E4">
        <w:rPr>
          <w:rFonts w:asciiTheme="majorHAnsi" w:hAnsiTheme="majorHAnsi" w:cstheme="majorHAnsi"/>
        </w:rPr>
        <w:t xml:space="preserve">.  The </w:t>
      </w:r>
      <w:r w:rsidR="00B4720E">
        <w:rPr>
          <w:rFonts w:asciiTheme="majorHAnsi" w:hAnsiTheme="majorHAnsi" w:cstheme="majorHAnsi"/>
        </w:rPr>
        <w:t>Coefficient of Variation (“COV”)</w:t>
      </w:r>
      <w:r w:rsidR="005726E4">
        <w:rPr>
          <w:rFonts w:asciiTheme="majorHAnsi" w:hAnsiTheme="majorHAnsi" w:cstheme="majorHAnsi"/>
        </w:rPr>
        <w:t xml:space="preserve"> and</w:t>
      </w:r>
      <w:r w:rsidR="00B4720E">
        <w:rPr>
          <w:rFonts w:asciiTheme="majorHAnsi" w:hAnsiTheme="majorHAnsi" w:cstheme="majorHAnsi"/>
        </w:rPr>
        <w:t xml:space="preserve"> Coefficient of Dispersion (“COD”)</w:t>
      </w:r>
      <w:r w:rsidR="005726E4">
        <w:rPr>
          <w:rFonts w:asciiTheme="majorHAnsi" w:hAnsiTheme="majorHAnsi" w:cstheme="majorHAnsi"/>
        </w:rPr>
        <w:t xml:space="preserve"> measure horizonal inequity, while the </w:t>
      </w:r>
      <w:r w:rsidR="00B4720E">
        <w:rPr>
          <w:rFonts w:asciiTheme="majorHAnsi" w:hAnsiTheme="majorHAnsi" w:cstheme="majorHAnsi"/>
        </w:rPr>
        <w:t>Price Related Differential (“PRD”) and Price Related Bias (“PRB”)</w:t>
      </w:r>
      <w:r w:rsidR="007F781F">
        <w:rPr>
          <w:rFonts w:asciiTheme="majorHAnsi" w:hAnsiTheme="majorHAnsi" w:cstheme="majorHAnsi"/>
        </w:rPr>
        <w:t xml:space="preserve"> quantifies</w:t>
      </w:r>
      <w:r w:rsidR="005726E4">
        <w:rPr>
          <w:rFonts w:asciiTheme="majorHAnsi" w:hAnsiTheme="majorHAnsi" w:cstheme="majorHAnsi"/>
        </w:rPr>
        <w:t xml:space="preserve"> vertical inequity (IAAO, 2018, Section 7.3). </w:t>
      </w:r>
      <w:r w:rsidR="005726E4">
        <w:rPr>
          <w:rFonts w:ascii="Times New Roman" w:eastAsia="Times New Roman" w:hAnsi="Times New Roman" w:cs="Times New Roman"/>
          <w:color w:val="auto"/>
          <w:lang w:eastAsia="en-US"/>
        </w:rPr>
        <w:t xml:space="preserve">Horizontal inequity measures variability within the distribution of housing sales, while vertical inequity emphasizes the comparison of properties valued in the two tails of the distribution. </w:t>
      </w:r>
      <w:r w:rsidR="005726E4">
        <w:t xml:space="preserve">For a set of housing sales, the IAAO (2018) advocates calculating the COV, COD, PRB and PRD statistics using the ratio of AVM value to sales price.  </w:t>
      </w:r>
    </w:p>
    <w:p w14:paraId="16621587" w14:textId="6496D6DC" w:rsidR="00512A9B" w:rsidRPr="00512A9B" w:rsidRDefault="00465148" w:rsidP="00EF2262">
      <w:pPr>
        <w:spacing w:before="240" w:line="360" w:lineRule="auto"/>
        <w:ind w:firstLine="0"/>
        <w:jc w:val="both"/>
      </w:pPr>
      <w:r w:rsidRPr="00465148">
        <w:t xml:space="preserve">These </w:t>
      </w:r>
      <w:r w:rsidR="00290FFA" w:rsidRPr="00465148">
        <w:t>AVM Performance Metrics</w:t>
      </w:r>
      <w:r w:rsidR="00391628">
        <w:t>, especially the FSD,</w:t>
      </w:r>
      <w:r w:rsidR="00290FFA" w:rsidRPr="00465148">
        <w:t xml:space="preserve"> are the tools </w:t>
      </w:r>
      <w:r w:rsidR="00391628">
        <w:t xml:space="preserve">that assess AVM accuracy and reliability, </w:t>
      </w:r>
      <w:r w:rsidR="00515A70">
        <w:t xml:space="preserve">in particular, </w:t>
      </w:r>
      <w:r w:rsidR="00391628">
        <w:t>by third parties who perform independent testing of the AVM vendor’s self-reported metrics (e.g. the vendor-reported FSD)</w:t>
      </w:r>
      <w:r w:rsidR="0088031E">
        <w:t xml:space="preserve"> using actual sales data</w:t>
      </w:r>
      <w:r w:rsidR="00391628">
        <w:t xml:space="preserve">.  Moreover, multiple </w:t>
      </w:r>
      <w:r w:rsidR="002F1F6C" w:rsidRPr="00465148">
        <w:t>AVM Performance Metrics</w:t>
      </w:r>
      <w:r w:rsidR="00391628">
        <w:t xml:space="preserve"> (more </w:t>
      </w:r>
      <w:r w:rsidR="002F1F6C" w:rsidRPr="00465148">
        <w:t xml:space="preserve">than </w:t>
      </w:r>
      <w:r w:rsidR="00391628">
        <w:t>just the</w:t>
      </w:r>
      <w:r w:rsidR="002F1F6C" w:rsidRPr="00465148">
        <w:t xml:space="preserve"> FSD</w:t>
      </w:r>
      <w:r w:rsidR="00391628">
        <w:t>)</w:t>
      </w:r>
      <w:r w:rsidR="002F1F6C" w:rsidRPr="00465148">
        <w:t xml:space="preserve"> </w:t>
      </w:r>
      <w:r w:rsidR="00391628">
        <w:t xml:space="preserve">can be used </w:t>
      </w:r>
      <w:r w:rsidR="002F1F6C" w:rsidRPr="00465148">
        <w:t>to compare, rank</w:t>
      </w:r>
      <w:r w:rsidR="0049184E" w:rsidRPr="00465148">
        <w:t>,</w:t>
      </w:r>
      <w:r w:rsidR="00C960A8" w:rsidRPr="00465148">
        <w:t xml:space="preserve"> and grade</w:t>
      </w:r>
      <w:r w:rsidR="0088031E">
        <w:t xml:space="preserve"> the performance of competing</w:t>
      </w:r>
      <w:r w:rsidRPr="00465148">
        <w:t xml:space="preserve"> </w:t>
      </w:r>
      <w:r w:rsidR="00C960A8" w:rsidRPr="00465148">
        <w:t>AVM</w:t>
      </w:r>
      <w:r w:rsidRPr="00465148">
        <w:t>s</w:t>
      </w:r>
      <w:r w:rsidR="00515A70">
        <w:t>, as d</w:t>
      </w:r>
      <w:r w:rsidR="00400E3B">
        <w:t>iscussed</w:t>
      </w:r>
      <w:r w:rsidR="00515A70">
        <w:t xml:space="preserve"> in the next subsection</w:t>
      </w:r>
      <w:r w:rsidRPr="00465148">
        <w:t>.</w:t>
      </w:r>
      <w:r w:rsidR="005726E4">
        <w:t xml:space="preserve"> </w:t>
      </w:r>
    </w:p>
    <w:p w14:paraId="7AFAE02A" w14:textId="7E4A9C31" w:rsidR="00573AEE" w:rsidRPr="00A424D1" w:rsidRDefault="00573AEE" w:rsidP="00573AEE">
      <w:pPr>
        <w:pStyle w:val="Heading1"/>
        <w:spacing w:before="240" w:line="360" w:lineRule="auto"/>
        <w:jc w:val="left"/>
        <w:rPr>
          <w:rFonts w:cstheme="majorHAnsi"/>
          <w:sz w:val="28"/>
          <w:szCs w:val="28"/>
        </w:rPr>
      </w:pPr>
      <w:r>
        <w:rPr>
          <w:rFonts w:cstheme="majorHAnsi"/>
          <w:b w:val="0"/>
          <w:bCs w:val="0"/>
          <w:sz w:val="28"/>
          <w:szCs w:val="28"/>
        </w:rPr>
        <w:tab/>
      </w:r>
      <w:r>
        <w:rPr>
          <w:rFonts w:cstheme="majorHAnsi"/>
          <w:sz w:val="28"/>
          <w:szCs w:val="28"/>
        </w:rPr>
        <w:t>2c</w:t>
      </w:r>
      <w:r w:rsidR="00F77F3E">
        <w:rPr>
          <w:rFonts w:cstheme="majorHAnsi"/>
          <w:sz w:val="28"/>
          <w:szCs w:val="28"/>
        </w:rPr>
        <w:t>.</w:t>
      </w:r>
      <w:r>
        <w:rPr>
          <w:rFonts w:cstheme="majorHAnsi"/>
          <w:sz w:val="28"/>
          <w:szCs w:val="28"/>
        </w:rPr>
        <w:t xml:space="preserve"> A Composite Index</w:t>
      </w:r>
      <w:r w:rsidRPr="00A278E3">
        <w:rPr>
          <w:rFonts w:cstheme="majorHAnsi"/>
          <w:sz w:val="28"/>
          <w:szCs w:val="28"/>
        </w:rPr>
        <w:t xml:space="preserve"> </w:t>
      </w:r>
      <w:r>
        <w:rPr>
          <w:rFonts w:cstheme="majorHAnsi"/>
          <w:sz w:val="28"/>
          <w:szCs w:val="28"/>
        </w:rPr>
        <w:t>using AVM Performance Metrics</w:t>
      </w:r>
    </w:p>
    <w:p w14:paraId="0DCBA07B" w14:textId="21502B85" w:rsidR="003C2B14" w:rsidRPr="0088031E" w:rsidRDefault="00465148" w:rsidP="003C2B14">
      <w:pPr>
        <w:tabs>
          <w:tab w:val="num" w:pos="720"/>
        </w:tabs>
        <w:spacing w:line="360" w:lineRule="auto"/>
        <w:ind w:firstLine="0"/>
        <w:jc w:val="both"/>
        <w:rPr>
          <w:rFonts w:ascii="Times New Roman" w:eastAsia="SimSun" w:hAnsi="Times New Roman" w:cs="Times New Roman"/>
          <w:color w:val="000000"/>
        </w:rPr>
      </w:pPr>
      <w:r>
        <w:rPr>
          <w:rFonts w:ascii="Times New Roman" w:eastAsia="SimSun" w:hAnsi="Times New Roman" w:cs="Times New Roman"/>
          <w:color w:val="000000"/>
        </w:rPr>
        <w:t>The second goal</w:t>
      </w:r>
      <w:r w:rsidR="00986CFE">
        <w:rPr>
          <w:rFonts w:ascii="Times New Roman" w:eastAsia="SimSun" w:hAnsi="Times New Roman" w:cs="Times New Roman"/>
          <w:color w:val="000000"/>
        </w:rPr>
        <w:t xml:space="preserve"> </w:t>
      </w:r>
      <w:r>
        <w:rPr>
          <w:rFonts w:ascii="Times New Roman" w:eastAsia="SimSun" w:hAnsi="Times New Roman" w:cs="Times New Roman"/>
          <w:color w:val="000000"/>
        </w:rPr>
        <w:t>for</w:t>
      </w:r>
      <w:r w:rsidR="00986CFE">
        <w:rPr>
          <w:rFonts w:ascii="Times New Roman" w:eastAsia="SimSun" w:hAnsi="Times New Roman" w:cs="Times New Roman"/>
          <w:color w:val="000000"/>
        </w:rPr>
        <w:t xml:space="preserve"> this</w:t>
      </w:r>
      <w:r w:rsidR="003C2B14" w:rsidRPr="003C2B14">
        <w:rPr>
          <w:rFonts w:ascii="Times New Roman" w:eastAsia="SimSun" w:hAnsi="Times New Roman" w:cs="Times New Roman"/>
          <w:color w:val="000000"/>
        </w:rPr>
        <w:t xml:space="preserve"> </w:t>
      </w:r>
      <w:r>
        <w:rPr>
          <w:rFonts w:ascii="Times New Roman" w:eastAsia="SimSun" w:hAnsi="Times New Roman" w:cs="Times New Roman"/>
          <w:color w:val="000000"/>
        </w:rPr>
        <w:t>study</w:t>
      </w:r>
      <w:r w:rsidR="003C2B14" w:rsidRPr="003C2B14">
        <w:rPr>
          <w:rFonts w:ascii="Times New Roman" w:eastAsia="SimSun" w:hAnsi="Times New Roman" w:cs="Times New Roman"/>
          <w:color w:val="000000"/>
        </w:rPr>
        <w:t xml:space="preserve"> is to </w:t>
      </w:r>
      <w:r w:rsidR="0088031E">
        <w:rPr>
          <w:rFonts w:ascii="Times New Roman" w:eastAsia="SimSun" w:hAnsi="Times New Roman" w:cs="Times New Roman"/>
          <w:color w:val="000000"/>
        </w:rPr>
        <w:t>introduce a</w:t>
      </w:r>
      <w:r w:rsidR="003C2B14" w:rsidRPr="003C2B14">
        <w:rPr>
          <w:rFonts w:ascii="Times New Roman" w:eastAsia="SimSun" w:hAnsi="Times New Roman" w:cs="Times New Roman"/>
          <w:color w:val="000000"/>
        </w:rPr>
        <w:t xml:space="preserve"> composite index of AVM Performance Metrics, called the AVM Error Score (“AVM-ES”)</w:t>
      </w:r>
      <w:r w:rsidR="0088031E">
        <w:rPr>
          <w:rFonts w:ascii="Times New Roman" w:eastAsia="SimSun" w:hAnsi="Times New Roman" w:cs="Times New Roman"/>
          <w:color w:val="000000"/>
        </w:rPr>
        <w:t xml:space="preserve">, to compare, </w:t>
      </w:r>
      <w:r w:rsidR="0088031E" w:rsidRPr="003C2B14">
        <w:rPr>
          <w:rFonts w:ascii="Times New Roman" w:eastAsia="SimSun" w:hAnsi="Times New Roman" w:cs="Times New Roman"/>
          <w:color w:val="000000"/>
        </w:rPr>
        <w:t>rank</w:t>
      </w:r>
      <w:r w:rsidR="006E200C">
        <w:rPr>
          <w:rFonts w:ascii="Times New Roman" w:eastAsia="SimSun" w:hAnsi="Times New Roman" w:cs="Times New Roman"/>
          <w:color w:val="000000"/>
        </w:rPr>
        <w:t>,</w:t>
      </w:r>
      <w:r w:rsidR="0088031E" w:rsidRPr="003C2B14">
        <w:rPr>
          <w:rFonts w:ascii="Times New Roman" w:eastAsia="SimSun" w:hAnsi="Times New Roman" w:cs="Times New Roman"/>
          <w:color w:val="000000"/>
        </w:rPr>
        <w:t xml:space="preserve"> and grade</w:t>
      </w:r>
      <w:r w:rsidR="0088031E">
        <w:rPr>
          <w:rFonts w:ascii="Times New Roman" w:eastAsia="SimSun" w:hAnsi="Times New Roman" w:cs="Times New Roman"/>
          <w:color w:val="000000"/>
        </w:rPr>
        <w:t xml:space="preserve"> the performance of</w:t>
      </w:r>
      <w:r w:rsidR="0088031E" w:rsidRPr="003C2B14">
        <w:rPr>
          <w:rFonts w:ascii="Times New Roman" w:eastAsia="SimSun" w:hAnsi="Times New Roman" w:cs="Times New Roman"/>
          <w:color w:val="000000"/>
        </w:rPr>
        <w:t xml:space="preserve"> competing AVMs</w:t>
      </w:r>
      <w:r w:rsidR="0088031E">
        <w:rPr>
          <w:rFonts w:ascii="Times New Roman" w:eastAsia="SimSun" w:hAnsi="Times New Roman" w:cs="Times New Roman"/>
          <w:color w:val="000000"/>
        </w:rPr>
        <w:t xml:space="preserve">. </w:t>
      </w:r>
      <w:r w:rsidR="003C2B14" w:rsidRPr="003C2B14">
        <w:rPr>
          <w:rFonts w:ascii="Times New Roman" w:eastAsia="SimSun" w:hAnsi="Times New Roman" w:cs="Times New Roman"/>
          <w:color w:val="000000"/>
        </w:rPr>
        <w:t xml:space="preserve">For a set of housing sales, distinguishing between AVMs using any single AVM Performance Metric is straightforward, for example, by identifying the AVM </w:t>
      </w:r>
      <w:r w:rsidR="0088031E" w:rsidRPr="003C2B14">
        <w:rPr>
          <w:rFonts w:ascii="Times New Roman" w:eastAsia="SimSun" w:hAnsi="Times New Roman" w:cs="Times New Roman"/>
          <w:color w:val="000000"/>
        </w:rPr>
        <w:t>having its mean sales error closest to zero</w:t>
      </w:r>
      <w:r w:rsidR="0088031E">
        <w:rPr>
          <w:rFonts w:ascii="Times New Roman" w:eastAsia="SimSun" w:hAnsi="Times New Roman" w:cs="Times New Roman"/>
          <w:color w:val="000000"/>
        </w:rPr>
        <w:t xml:space="preserve"> or choosing the AVM </w:t>
      </w:r>
      <w:r w:rsidR="003C2B14" w:rsidRPr="003C2B14">
        <w:rPr>
          <w:rFonts w:ascii="Times New Roman" w:eastAsia="SimSun" w:hAnsi="Times New Roman" w:cs="Times New Roman"/>
          <w:color w:val="000000"/>
        </w:rPr>
        <w:t xml:space="preserve">with the lowest </w:t>
      </w:r>
      <w:r w:rsidR="0088031E" w:rsidRPr="0036039F">
        <w:rPr>
          <w:rFonts w:ascii="Times New Roman" w:eastAsia="SimSun" w:hAnsi="Times New Roman" w:cs="Times New Roman"/>
          <w:color w:val="000000"/>
        </w:rPr>
        <w:t>O</w:t>
      </w:r>
      <w:r w:rsidR="003C2B14" w:rsidRPr="0036039F">
        <w:rPr>
          <w:rFonts w:ascii="Times New Roman" w:eastAsia="SimSun" w:hAnsi="Times New Roman" w:cs="Times New Roman"/>
          <w:color w:val="000000"/>
        </w:rPr>
        <w:t>bserved</w:t>
      </w:r>
      <w:r w:rsidR="006A04E0" w:rsidRPr="0036039F">
        <w:rPr>
          <w:rFonts w:ascii="Times New Roman" w:eastAsia="SimSun" w:hAnsi="Times New Roman" w:cs="Times New Roman"/>
          <w:color w:val="000000"/>
        </w:rPr>
        <w:t xml:space="preserve"> </w:t>
      </w:r>
      <w:r w:rsidR="0088031E" w:rsidRPr="0036039F">
        <w:rPr>
          <w:rFonts w:ascii="Times New Roman" w:eastAsia="SimSun" w:hAnsi="Times New Roman" w:cs="Times New Roman"/>
          <w:color w:val="000000"/>
        </w:rPr>
        <w:t xml:space="preserve">Standard </w:t>
      </w:r>
      <w:r w:rsidR="0088031E" w:rsidRPr="0036039F">
        <w:rPr>
          <w:rFonts w:ascii="Times New Roman" w:eastAsia="SimSun" w:hAnsi="Times New Roman" w:cs="Times New Roman"/>
          <w:color w:val="000000"/>
        </w:rPr>
        <w:lastRenderedPageBreak/>
        <w:t>Deviation</w:t>
      </w:r>
      <w:r w:rsidR="00052392" w:rsidRPr="0036039F">
        <w:rPr>
          <w:rFonts w:ascii="Times New Roman" w:eastAsia="SimSun" w:hAnsi="Times New Roman" w:cs="Times New Roman"/>
          <w:color w:val="000000"/>
        </w:rPr>
        <w:t>.</w:t>
      </w:r>
      <w:r w:rsidR="006A04E0" w:rsidRPr="0036039F">
        <w:rPr>
          <w:rStyle w:val="FootnoteReference"/>
          <w:rFonts w:ascii="Times New Roman" w:eastAsia="SimSun" w:hAnsi="Times New Roman" w:cs="Times New Roman"/>
          <w:color w:val="000000"/>
        </w:rPr>
        <w:footnoteReference w:id="17"/>
      </w:r>
      <w:r w:rsidR="003C2B14" w:rsidRPr="0036039F">
        <w:rPr>
          <w:rFonts w:ascii="Times New Roman" w:eastAsia="SimSun" w:hAnsi="Times New Roman" w:cs="Times New Roman"/>
          <w:color w:val="000000"/>
        </w:rPr>
        <w:t xml:space="preserve"> </w:t>
      </w:r>
      <w:r w:rsidR="00737A05">
        <w:rPr>
          <w:rFonts w:ascii="Times New Roman" w:eastAsia="SimSun" w:hAnsi="Times New Roman" w:cs="Times New Roman"/>
          <w:color w:val="000000"/>
        </w:rPr>
        <w:t xml:space="preserve"> </w:t>
      </w:r>
      <w:r w:rsidR="003C2B14" w:rsidRPr="0036039F">
        <w:rPr>
          <w:rFonts w:ascii="Times New Roman" w:eastAsia="SimSun" w:hAnsi="Times New Roman" w:cs="Times New Roman"/>
          <w:color w:val="000000"/>
        </w:rPr>
        <w:t>However, the AVM-ES evaluates AVMs using a multi</w:t>
      </w:r>
      <w:r w:rsidR="003C2B14" w:rsidRPr="003C2B14">
        <w:rPr>
          <w:rFonts w:ascii="Times New Roman" w:eastAsia="SimSun" w:hAnsi="Times New Roman" w:cs="Times New Roman"/>
          <w:color w:val="000000"/>
        </w:rPr>
        <w:t xml:space="preserve">-dimensional, composite index derived from any </w:t>
      </w:r>
      <w:r w:rsidR="00052392">
        <w:rPr>
          <w:rFonts w:ascii="Times New Roman" w:eastAsia="SimSun" w:hAnsi="Times New Roman" w:cs="Times New Roman"/>
          <w:color w:val="000000"/>
        </w:rPr>
        <w:t xml:space="preserve">chosen </w:t>
      </w:r>
      <w:r w:rsidR="003C2B14" w:rsidRPr="003C2B14">
        <w:rPr>
          <w:rFonts w:ascii="Times New Roman" w:eastAsia="SimSun" w:hAnsi="Times New Roman" w:cs="Times New Roman"/>
          <w:color w:val="000000"/>
        </w:rPr>
        <w:t xml:space="preserve">collection of </w:t>
      </w:r>
      <w:r w:rsidR="00563CB1">
        <w:rPr>
          <w:rFonts w:ascii="Times New Roman" w:eastAsia="SimSun" w:hAnsi="Times New Roman" w:cs="Times New Roman"/>
          <w:color w:val="000000"/>
        </w:rPr>
        <w:t>metrics</w:t>
      </w:r>
      <w:r w:rsidR="003C2B14" w:rsidRPr="003C2B14">
        <w:rPr>
          <w:rFonts w:ascii="Times New Roman" w:eastAsia="SimSun" w:hAnsi="Times New Roman" w:cs="Times New Roman"/>
          <w:color w:val="000000"/>
        </w:rPr>
        <w:t xml:space="preserve"> to identify top-performing AVMs.</w:t>
      </w:r>
      <w:r w:rsidR="00052392">
        <w:rPr>
          <w:rFonts w:ascii="Times New Roman" w:eastAsia="SimSun" w:hAnsi="Times New Roman" w:cs="Times New Roman"/>
          <w:color w:val="000000"/>
        </w:rPr>
        <w:t xml:space="preserve"> </w:t>
      </w:r>
      <w:r w:rsidR="003C2B14" w:rsidRPr="003C2B14">
        <w:rPr>
          <w:rFonts w:ascii="Times New Roman" w:eastAsia="SimSun" w:hAnsi="Times New Roman" w:cs="Times New Roman"/>
          <w:color w:val="000000"/>
        </w:rPr>
        <w:t xml:space="preserve"> In addition to ranking competing AVMs, the AVM-ES can </w:t>
      </w:r>
      <w:r w:rsidR="00512A9B">
        <w:rPr>
          <w:rFonts w:ascii="Times New Roman" w:eastAsia="SimSun" w:hAnsi="Times New Roman" w:cs="Times New Roman"/>
          <w:color w:val="000000"/>
        </w:rPr>
        <w:t>grade</w:t>
      </w:r>
      <w:r w:rsidR="003C2B14" w:rsidRPr="003C2B14">
        <w:rPr>
          <w:rFonts w:ascii="Times New Roman" w:eastAsia="SimSun" w:hAnsi="Times New Roman" w:cs="Times New Roman"/>
          <w:color w:val="000000"/>
        </w:rPr>
        <w:t xml:space="preserve"> overall AVM performance</w:t>
      </w:r>
      <w:r w:rsidR="00D83758">
        <w:rPr>
          <w:rFonts w:ascii="Times New Roman" w:eastAsia="SimSun" w:hAnsi="Times New Roman" w:cs="Times New Roman"/>
          <w:color w:val="000000"/>
        </w:rPr>
        <w:t>, using a set of AVM Performance Metrics,</w:t>
      </w:r>
      <w:r w:rsidR="003C2B14" w:rsidRPr="003C2B14">
        <w:rPr>
          <w:rFonts w:ascii="Times New Roman" w:eastAsia="SimSun" w:hAnsi="Times New Roman" w:cs="Times New Roman"/>
          <w:color w:val="000000"/>
        </w:rPr>
        <w:t xml:space="preserve"> by providing an ordinal grade (e.g., ‘Strong’, ‘Reasonable’, Acceptable but Weak’ or ‘Poorly’ performing)</w:t>
      </w:r>
      <w:r w:rsidR="00D83758">
        <w:rPr>
          <w:rFonts w:ascii="Times New Roman" w:eastAsia="SimSun" w:hAnsi="Times New Roman" w:cs="Times New Roman"/>
          <w:color w:val="000000"/>
        </w:rPr>
        <w:t xml:space="preserve">, </w:t>
      </w:r>
      <w:r w:rsidR="00042C9F">
        <w:rPr>
          <w:rFonts w:ascii="Times New Roman" w:eastAsia="SimSun" w:hAnsi="Times New Roman" w:cs="Times New Roman"/>
          <w:color w:val="000000"/>
        </w:rPr>
        <w:t xml:space="preserve">analogous to what </w:t>
      </w:r>
      <w:r w:rsidR="00D83758">
        <w:rPr>
          <w:rFonts w:ascii="Times New Roman" w:eastAsia="SimSun" w:hAnsi="Times New Roman" w:cs="Times New Roman"/>
          <w:color w:val="000000"/>
        </w:rPr>
        <w:t>Freddie Mac (2019) currently offers for its FSD.</w:t>
      </w:r>
      <w:r w:rsidR="00D83758">
        <w:rPr>
          <w:rStyle w:val="FootnoteReference"/>
          <w:rFonts w:ascii="Times New Roman" w:eastAsia="SimSun" w:hAnsi="Times New Roman" w:cs="Times New Roman"/>
          <w:color w:val="000000"/>
        </w:rPr>
        <w:footnoteReference w:id="18"/>
      </w:r>
      <w:r w:rsidR="00D83758">
        <w:rPr>
          <w:rFonts w:ascii="Times New Roman" w:eastAsia="SimSun" w:hAnsi="Times New Roman" w:cs="Times New Roman"/>
          <w:color w:val="000000"/>
        </w:rPr>
        <w:t xml:space="preserve"> </w:t>
      </w:r>
    </w:p>
    <w:p w14:paraId="0576AB9D" w14:textId="24507A1F" w:rsidR="00573AEE" w:rsidRDefault="003C2B14" w:rsidP="003C2B14">
      <w:pPr>
        <w:tabs>
          <w:tab w:val="num" w:pos="720"/>
        </w:tabs>
        <w:spacing w:before="240" w:line="360" w:lineRule="auto"/>
        <w:ind w:firstLine="0"/>
        <w:jc w:val="both"/>
        <w:rPr>
          <w:rFonts w:asciiTheme="majorHAnsi" w:hAnsiTheme="majorHAnsi" w:cstheme="majorHAnsi"/>
          <w:lang w:val="en"/>
        </w:rPr>
      </w:pPr>
      <w:r>
        <w:rPr>
          <w:rFonts w:asciiTheme="majorHAnsi" w:hAnsiTheme="majorHAnsi" w:cstheme="majorHAnsi"/>
          <w:lang w:val="en"/>
        </w:rPr>
        <w:t xml:space="preserve">Given </w:t>
      </w:r>
      <w:r w:rsidR="00573AEE">
        <w:rPr>
          <w:rFonts w:asciiTheme="majorHAnsi" w:hAnsiTheme="majorHAnsi" w:cstheme="majorHAnsi"/>
          <w:lang w:val="en"/>
        </w:rPr>
        <w:t>a set of AVM Performance Metrics, the AVM-ES</w:t>
      </w:r>
      <w:r w:rsidR="00573AEE" w:rsidRPr="00A278E3">
        <w:rPr>
          <w:rFonts w:asciiTheme="majorHAnsi" w:hAnsiTheme="majorHAnsi" w:cstheme="majorHAnsi"/>
          <w:lang w:val="en"/>
        </w:rPr>
        <w:t xml:space="preserve"> </w:t>
      </w:r>
      <w:r w:rsidR="00573AEE">
        <w:rPr>
          <w:rFonts w:asciiTheme="majorHAnsi" w:hAnsiTheme="majorHAnsi" w:cstheme="majorHAnsi"/>
          <w:lang w:val="en"/>
        </w:rPr>
        <w:t>quantifies</w:t>
      </w:r>
      <w:r w:rsidR="00573AEE" w:rsidRPr="00A278E3">
        <w:rPr>
          <w:rFonts w:asciiTheme="majorHAnsi" w:hAnsiTheme="majorHAnsi" w:cstheme="majorHAnsi"/>
          <w:lang w:val="en"/>
        </w:rPr>
        <w:t xml:space="preserve"> the </w:t>
      </w:r>
      <w:r w:rsidR="00573AEE">
        <w:rPr>
          <w:rFonts w:asciiTheme="majorHAnsi" w:hAnsiTheme="majorHAnsi" w:cstheme="majorHAnsi"/>
          <w:lang w:val="en"/>
        </w:rPr>
        <w:t>overall</w:t>
      </w:r>
      <w:r w:rsidR="00573AEE" w:rsidRPr="00A278E3">
        <w:rPr>
          <w:rFonts w:asciiTheme="majorHAnsi" w:hAnsiTheme="majorHAnsi" w:cstheme="majorHAnsi"/>
          <w:lang w:val="en"/>
        </w:rPr>
        <w:t xml:space="preserve"> </w:t>
      </w:r>
      <w:r w:rsidR="00573AEE">
        <w:rPr>
          <w:rFonts w:asciiTheme="majorHAnsi" w:hAnsiTheme="majorHAnsi" w:cstheme="majorHAnsi"/>
          <w:lang w:val="en"/>
        </w:rPr>
        <w:t>performance</w:t>
      </w:r>
      <w:r w:rsidR="00573AEE" w:rsidRPr="00A278E3">
        <w:rPr>
          <w:rFonts w:asciiTheme="majorHAnsi" w:hAnsiTheme="majorHAnsi" w:cstheme="majorHAnsi"/>
          <w:lang w:val="en"/>
        </w:rPr>
        <w:t xml:space="preserve"> of AVM valuation</w:t>
      </w:r>
      <w:r w:rsidR="00573AEE">
        <w:rPr>
          <w:rFonts w:asciiTheme="majorHAnsi" w:hAnsiTheme="majorHAnsi" w:cstheme="majorHAnsi"/>
          <w:lang w:val="en"/>
        </w:rPr>
        <w:t xml:space="preserve">s and </w:t>
      </w:r>
      <w:r w:rsidR="00573AEE" w:rsidRPr="00A278E3">
        <w:rPr>
          <w:rFonts w:asciiTheme="majorHAnsi" w:hAnsiTheme="majorHAnsi" w:cstheme="majorHAnsi"/>
          <w:lang w:val="en"/>
        </w:rPr>
        <w:t xml:space="preserve">is calculated for all properties aggregated </w:t>
      </w:r>
      <w:r w:rsidR="00573AEE">
        <w:rPr>
          <w:rFonts w:asciiTheme="majorHAnsi" w:hAnsiTheme="majorHAnsi" w:cstheme="majorHAnsi"/>
          <w:lang w:val="en"/>
        </w:rPr>
        <w:t>to a chosen sampling unit</w:t>
      </w:r>
      <w:r w:rsidR="00573AEE" w:rsidRPr="00A278E3">
        <w:rPr>
          <w:rFonts w:asciiTheme="majorHAnsi" w:hAnsiTheme="majorHAnsi" w:cstheme="majorHAnsi"/>
          <w:lang w:val="en"/>
        </w:rPr>
        <w:t xml:space="preserve">, using a linear combination of </w:t>
      </w:r>
      <w:r w:rsidR="00573AEE">
        <w:rPr>
          <w:rFonts w:asciiTheme="majorHAnsi" w:hAnsiTheme="majorHAnsi" w:cstheme="majorHAnsi"/>
          <w:lang w:val="en"/>
        </w:rPr>
        <w:t>any collection of AVM Performance Metrics, such as those seen</w:t>
      </w:r>
      <w:r w:rsidR="00573AEE" w:rsidRPr="00A278E3">
        <w:rPr>
          <w:rFonts w:asciiTheme="majorHAnsi" w:hAnsiTheme="majorHAnsi" w:cstheme="majorHAnsi"/>
          <w:lang w:val="en"/>
        </w:rPr>
        <w:t xml:space="preserve"> in </w:t>
      </w:r>
      <w:r w:rsidR="00573AEE">
        <w:rPr>
          <w:rFonts w:asciiTheme="majorHAnsi" w:hAnsiTheme="majorHAnsi" w:cstheme="majorHAnsi"/>
          <w:lang w:val="en"/>
        </w:rPr>
        <w:t>Exhibit</w:t>
      </w:r>
      <w:r w:rsidR="00573AEE" w:rsidRPr="00A278E3">
        <w:rPr>
          <w:rFonts w:asciiTheme="majorHAnsi" w:hAnsiTheme="majorHAnsi" w:cstheme="majorHAnsi"/>
          <w:lang w:val="en"/>
        </w:rPr>
        <w:t xml:space="preserve"> 1</w:t>
      </w:r>
      <w:r w:rsidR="00573AEE">
        <w:rPr>
          <w:rFonts w:asciiTheme="majorHAnsi" w:hAnsiTheme="majorHAnsi" w:cstheme="majorHAnsi"/>
          <w:lang w:val="en"/>
        </w:rPr>
        <w:t xml:space="preserve">.  The </w:t>
      </w:r>
      <w:r w:rsidR="00573AEE" w:rsidRPr="00A278E3">
        <w:rPr>
          <w:rFonts w:asciiTheme="majorHAnsi" w:hAnsiTheme="majorHAnsi" w:cstheme="majorHAnsi"/>
          <w:lang w:val="en"/>
        </w:rPr>
        <w:t xml:space="preserve">coefficients for the </w:t>
      </w:r>
      <w:r w:rsidR="00573AEE" w:rsidRPr="004241B6">
        <w:rPr>
          <w:rFonts w:asciiTheme="majorHAnsi" w:hAnsiTheme="majorHAnsi" w:cstheme="majorHAnsi"/>
          <w:lang w:val="en"/>
        </w:rPr>
        <w:t xml:space="preserve">variables in the </w:t>
      </w:r>
      <w:r w:rsidR="00573AEE">
        <w:rPr>
          <w:rFonts w:asciiTheme="majorHAnsi" w:hAnsiTheme="majorHAnsi" w:cstheme="majorHAnsi"/>
          <w:lang w:val="en"/>
        </w:rPr>
        <w:t>AVM-</w:t>
      </w:r>
      <w:r w:rsidR="00573AEE" w:rsidRPr="004241B6">
        <w:rPr>
          <w:rFonts w:asciiTheme="majorHAnsi" w:hAnsiTheme="majorHAnsi" w:cstheme="majorHAnsi"/>
          <w:lang w:val="en"/>
        </w:rPr>
        <w:t xml:space="preserve">ES linear combination are determined through a statistical </w:t>
      </w:r>
      <w:r w:rsidR="00573AEE">
        <w:rPr>
          <w:rFonts w:asciiTheme="majorHAnsi" w:hAnsiTheme="majorHAnsi" w:cstheme="majorHAnsi"/>
          <w:lang w:val="en"/>
        </w:rPr>
        <w:t>P</w:t>
      </w:r>
      <w:r w:rsidR="00573AEE" w:rsidRPr="004241B6">
        <w:rPr>
          <w:rFonts w:asciiTheme="majorHAnsi" w:hAnsiTheme="majorHAnsi" w:cstheme="majorHAnsi"/>
          <w:lang w:val="en"/>
        </w:rPr>
        <w:t xml:space="preserve">rincipal </w:t>
      </w:r>
      <w:r w:rsidR="00573AEE">
        <w:rPr>
          <w:rFonts w:asciiTheme="majorHAnsi" w:hAnsiTheme="majorHAnsi" w:cstheme="majorHAnsi"/>
          <w:lang w:val="en"/>
        </w:rPr>
        <w:t>C</w:t>
      </w:r>
      <w:r w:rsidR="00573AEE" w:rsidRPr="004241B6">
        <w:rPr>
          <w:rFonts w:asciiTheme="majorHAnsi" w:hAnsiTheme="majorHAnsi" w:cstheme="majorHAnsi"/>
          <w:lang w:val="en"/>
        </w:rPr>
        <w:t xml:space="preserve">omponent </w:t>
      </w:r>
      <w:r w:rsidR="00573AEE">
        <w:rPr>
          <w:rFonts w:asciiTheme="majorHAnsi" w:hAnsiTheme="majorHAnsi" w:cstheme="majorHAnsi"/>
          <w:lang w:val="en"/>
        </w:rPr>
        <w:t>A</w:t>
      </w:r>
      <w:r w:rsidR="00573AEE" w:rsidRPr="004241B6">
        <w:rPr>
          <w:rFonts w:asciiTheme="majorHAnsi" w:hAnsiTheme="majorHAnsi" w:cstheme="majorHAnsi"/>
          <w:lang w:val="en"/>
        </w:rPr>
        <w:t>nalysis</w:t>
      </w:r>
      <w:r w:rsidR="00573AEE">
        <w:rPr>
          <w:rFonts w:asciiTheme="majorHAnsi" w:hAnsiTheme="majorHAnsi" w:cstheme="majorHAnsi"/>
          <w:lang w:val="en"/>
        </w:rPr>
        <w:t xml:space="preserve"> (“PCA”)</w:t>
      </w:r>
      <w:r w:rsidR="00BB6C67">
        <w:rPr>
          <w:rFonts w:asciiTheme="majorHAnsi" w:hAnsiTheme="majorHAnsi" w:cstheme="majorHAnsi"/>
          <w:lang w:val="en"/>
        </w:rPr>
        <w:t>.</w:t>
      </w:r>
      <w:r w:rsidR="00BB6C67">
        <w:rPr>
          <w:rStyle w:val="FootnoteReference"/>
          <w:rFonts w:asciiTheme="majorHAnsi" w:hAnsiTheme="majorHAnsi" w:cstheme="majorHAnsi"/>
          <w:lang w:val="en"/>
        </w:rPr>
        <w:footnoteReference w:id="19"/>
      </w:r>
      <w:r w:rsidR="00573AEE">
        <w:rPr>
          <w:rFonts w:asciiTheme="majorHAnsi" w:hAnsiTheme="majorHAnsi" w:cstheme="majorHAnsi"/>
          <w:lang w:val="en"/>
        </w:rPr>
        <w:t xml:space="preserve"> </w:t>
      </w:r>
      <w:r w:rsidR="007D2F9F">
        <w:rPr>
          <w:rFonts w:asciiTheme="majorHAnsi" w:hAnsiTheme="majorHAnsi" w:cstheme="majorHAnsi"/>
          <w:lang w:val="en"/>
        </w:rPr>
        <w:t xml:space="preserve"> </w:t>
      </w:r>
      <w:r w:rsidR="00573AEE">
        <w:rPr>
          <w:rFonts w:asciiTheme="majorHAnsi" w:hAnsiTheme="majorHAnsi" w:cstheme="majorHAnsi"/>
          <w:lang w:val="en"/>
        </w:rPr>
        <w:t xml:space="preserve">Note that the PCA, outlined in this section, is </w:t>
      </w:r>
      <w:r w:rsidR="00142D13">
        <w:rPr>
          <w:rFonts w:asciiTheme="majorHAnsi" w:hAnsiTheme="majorHAnsi" w:cstheme="majorHAnsi"/>
          <w:lang w:val="en"/>
        </w:rPr>
        <w:t xml:space="preserve">not used to compute any AVM valuation; it is </w:t>
      </w:r>
      <w:r w:rsidR="00573AEE">
        <w:rPr>
          <w:rFonts w:asciiTheme="majorHAnsi" w:hAnsiTheme="majorHAnsi" w:cstheme="majorHAnsi"/>
          <w:lang w:val="en"/>
        </w:rPr>
        <w:t xml:space="preserve">used to aggregate a collection of AVM Performance Metrics to </w:t>
      </w:r>
      <w:r w:rsidR="0074156A">
        <w:rPr>
          <w:rFonts w:asciiTheme="majorHAnsi" w:hAnsiTheme="majorHAnsi" w:cstheme="majorHAnsi"/>
          <w:lang w:val="en"/>
        </w:rPr>
        <w:t>compare</w:t>
      </w:r>
      <w:r w:rsidR="00142D13">
        <w:rPr>
          <w:rFonts w:asciiTheme="majorHAnsi" w:hAnsiTheme="majorHAnsi" w:cstheme="majorHAnsi"/>
          <w:lang w:val="en"/>
        </w:rPr>
        <w:t>,</w:t>
      </w:r>
      <w:r w:rsidR="00573AEE">
        <w:rPr>
          <w:rFonts w:asciiTheme="majorHAnsi" w:hAnsiTheme="majorHAnsi" w:cstheme="majorHAnsi"/>
          <w:lang w:val="en"/>
        </w:rPr>
        <w:t xml:space="preserve"> rank</w:t>
      </w:r>
      <w:r w:rsidR="00754EF4">
        <w:rPr>
          <w:rFonts w:asciiTheme="majorHAnsi" w:hAnsiTheme="majorHAnsi" w:cstheme="majorHAnsi"/>
          <w:lang w:val="en"/>
        </w:rPr>
        <w:t>,</w:t>
      </w:r>
      <w:r w:rsidR="00142D13">
        <w:rPr>
          <w:rFonts w:asciiTheme="majorHAnsi" w:hAnsiTheme="majorHAnsi" w:cstheme="majorHAnsi"/>
          <w:lang w:val="en"/>
        </w:rPr>
        <w:t xml:space="preserve"> and grade</w:t>
      </w:r>
      <w:r w:rsidR="00573AEE">
        <w:rPr>
          <w:rFonts w:asciiTheme="majorHAnsi" w:hAnsiTheme="majorHAnsi" w:cstheme="majorHAnsi"/>
          <w:lang w:val="en"/>
        </w:rPr>
        <w:t xml:space="preserve"> competing AVMs. </w:t>
      </w:r>
      <w:r w:rsidR="00573AEE" w:rsidRPr="004241B6">
        <w:rPr>
          <w:rFonts w:asciiTheme="majorHAnsi" w:hAnsiTheme="majorHAnsi" w:cstheme="majorHAnsi"/>
          <w:lang w:val="en"/>
        </w:rPr>
        <w:t xml:space="preserve"> </w:t>
      </w:r>
    </w:p>
    <w:p w14:paraId="34A25F5B" w14:textId="0701C704" w:rsidR="00573AEE" w:rsidRDefault="00515A70" w:rsidP="00573AEE">
      <w:pPr>
        <w:tabs>
          <w:tab w:val="num" w:pos="720"/>
        </w:tabs>
        <w:spacing w:before="240" w:line="360" w:lineRule="auto"/>
        <w:ind w:firstLine="0"/>
        <w:jc w:val="both"/>
        <w:rPr>
          <w:rFonts w:asciiTheme="majorHAnsi" w:hAnsiTheme="majorHAnsi" w:cstheme="majorHAnsi"/>
          <w:lang w:val="en"/>
        </w:rPr>
      </w:pPr>
      <w:r>
        <w:rPr>
          <w:rFonts w:asciiTheme="majorHAnsi" w:hAnsiTheme="majorHAnsi" w:cstheme="majorHAnsi"/>
          <w:lang w:val="en"/>
        </w:rPr>
        <w:t>G</w:t>
      </w:r>
      <w:r w:rsidR="00573AEE">
        <w:rPr>
          <w:rFonts w:asciiTheme="majorHAnsi" w:hAnsiTheme="majorHAnsi" w:cstheme="majorHAnsi"/>
          <w:lang w:val="en"/>
        </w:rPr>
        <w:t xml:space="preserve">iven a set of </w:t>
      </w:r>
      <w:r w:rsidR="00573AEE" w:rsidRPr="00551634">
        <w:rPr>
          <w:rFonts w:asciiTheme="majorHAnsi" w:hAnsiTheme="majorHAnsi" w:cstheme="majorHAnsi"/>
          <w:i/>
          <w:iCs/>
          <w:lang w:val="en"/>
        </w:rPr>
        <w:t>p</w:t>
      </w:r>
      <w:r w:rsidR="00573AEE">
        <w:rPr>
          <w:rFonts w:asciiTheme="majorHAnsi" w:hAnsiTheme="majorHAnsi" w:cstheme="majorHAnsi"/>
          <w:lang w:val="en"/>
        </w:rPr>
        <w:t xml:space="preserve"> AVM Performance Metrics, the AVM-ES, for the </w:t>
      </w:r>
      <w:r w:rsidR="00573AEE" w:rsidRPr="000767AB">
        <w:rPr>
          <w:rFonts w:asciiTheme="majorHAnsi" w:hAnsiTheme="majorHAnsi" w:cstheme="majorHAnsi"/>
          <w:i/>
          <w:lang w:val="en"/>
        </w:rPr>
        <w:t>k</w:t>
      </w:r>
      <w:r w:rsidR="00573AEE">
        <w:rPr>
          <w:rFonts w:asciiTheme="majorHAnsi" w:hAnsiTheme="majorHAnsi" w:cstheme="majorHAnsi"/>
          <w:lang w:val="en"/>
        </w:rPr>
        <w:t>th sampling unit (</w:t>
      </w:r>
      <w:r w:rsidR="00573AEE" w:rsidRPr="004F0EE8">
        <w:rPr>
          <w:rFonts w:asciiTheme="majorHAnsi" w:hAnsiTheme="majorHAnsi" w:cstheme="majorHAnsi"/>
          <w:lang w:val="en"/>
        </w:rPr>
        <w:t xml:space="preserve">e.g. an AVM/FSD combination, where </w:t>
      </w:r>
      <w:r w:rsidR="00573AEE" w:rsidRPr="004F0EE8">
        <w:rPr>
          <w:rFonts w:asciiTheme="majorHAnsi" w:hAnsiTheme="majorHAnsi" w:cstheme="majorHAnsi"/>
          <w:i/>
          <w:iCs/>
          <w:lang w:val="en"/>
        </w:rPr>
        <w:t>k</w:t>
      </w:r>
      <w:r w:rsidR="00573AEE" w:rsidRPr="004F0EE8">
        <w:rPr>
          <w:rFonts w:asciiTheme="majorHAnsi" w:hAnsiTheme="majorHAnsi" w:cstheme="majorHAnsi"/>
          <w:lang w:val="en"/>
        </w:rPr>
        <w:t xml:space="preserve"> = 1, 2, … 367 in the first analysis in Section </w:t>
      </w:r>
      <w:r w:rsidR="00407BB1" w:rsidRPr="004F0EE8">
        <w:rPr>
          <w:rFonts w:asciiTheme="majorHAnsi" w:hAnsiTheme="majorHAnsi" w:cstheme="majorHAnsi"/>
          <w:lang w:val="en"/>
        </w:rPr>
        <w:t>5a</w:t>
      </w:r>
      <w:r w:rsidR="00573AEE" w:rsidRPr="004F0EE8">
        <w:rPr>
          <w:rFonts w:asciiTheme="majorHAnsi" w:hAnsiTheme="majorHAnsi" w:cstheme="majorHAnsi"/>
          <w:lang w:val="en"/>
        </w:rPr>
        <w:t xml:space="preserve">, or an AVM, where </w:t>
      </w:r>
      <w:r w:rsidR="00573AEE" w:rsidRPr="004F0EE8">
        <w:rPr>
          <w:rFonts w:asciiTheme="majorHAnsi" w:hAnsiTheme="majorHAnsi" w:cstheme="majorHAnsi"/>
          <w:i/>
          <w:lang w:val="en"/>
        </w:rPr>
        <w:t xml:space="preserve">k </w:t>
      </w:r>
      <w:r w:rsidR="00573AEE" w:rsidRPr="004F0EE8">
        <w:rPr>
          <w:rFonts w:asciiTheme="majorHAnsi" w:hAnsiTheme="majorHAnsi" w:cstheme="majorHAnsi"/>
          <w:lang w:val="en"/>
        </w:rPr>
        <w:t xml:space="preserve">= 1, 2, … 12 for the second in Section </w:t>
      </w:r>
      <w:r w:rsidR="00407BB1" w:rsidRPr="004F0EE8">
        <w:rPr>
          <w:rFonts w:asciiTheme="majorHAnsi" w:hAnsiTheme="majorHAnsi" w:cstheme="majorHAnsi"/>
          <w:lang w:val="en"/>
        </w:rPr>
        <w:t>5a)</w:t>
      </w:r>
      <w:r w:rsidR="00573AEE" w:rsidRPr="004F0EE8">
        <w:rPr>
          <w:rFonts w:asciiTheme="majorHAnsi" w:hAnsiTheme="majorHAnsi" w:cstheme="majorHAnsi"/>
          <w:lang w:val="en"/>
        </w:rPr>
        <w:t>,</w:t>
      </w:r>
      <w:r w:rsidR="00573AEE">
        <w:rPr>
          <w:rFonts w:asciiTheme="majorHAnsi" w:hAnsiTheme="majorHAnsi" w:cstheme="majorHAnsi"/>
          <w:lang w:val="en"/>
        </w:rPr>
        <w:t xml:space="preserve"> is the first principal component, defined as:</w:t>
      </w:r>
    </w:p>
    <w:p w14:paraId="5430FE2C" w14:textId="77777777" w:rsidR="00573AEE" w:rsidRDefault="00573AEE" w:rsidP="00573AEE">
      <w:pPr>
        <w:tabs>
          <w:tab w:val="num" w:pos="720"/>
        </w:tabs>
        <w:spacing w:line="360" w:lineRule="auto"/>
        <w:ind w:firstLine="0"/>
        <w:jc w:val="center"/>
        <w:rPr>
          <w:rFonts w:asciiTheme="majorHAnsi" w:hAnsiTheme="majorHAnsi" w:cstheme="majorHAnsi"/>
          <w:lang w:val="en"/>
        </w:rPr>
      </w:pPr>
      <m:oMathPara>
        <m:oMath>
          <m:r>
            <w:rPr>
              <w:rFonts w:ascii="Cambria Math" w:hAnsi="Cambria Math" w:cstheme="majorHAnsi"/>
              <w:lang w:val="en"/>
            </w:rPr>
            <m:t>AVM­E</m:t>
          </m:r>
          <m:sSub>
            <m:sSubPr>
              <m:ctrlPr>
                <w:rPr>
                  <w:rFonts w:ascii="Cambria Math" w:hAnsi="Cambria Math" w:cstheme="majorHAnsi"/>
                  <w:i/>
                  <w:lang w:val="en"/>
                </w:rPr>
              </m:ctrlPr>
            </m:sSubPr>
            <m:e>
              <m:r>
                <w:rPr>
                  <w:rFonts w:ascii="Cambria Math" w:hAnsi="Cambria Math" w:cstheme="majorHAnsi"/>
                  <w:lang w:val="en"/>
                </w:rPr>
                <m:t>S</m:t>
              </m:r>
            </m:e>
            <m:sub>
              <m:r>
                <w:rPr>
                  <w:rFonts w:ascii="Cambria Math" w:hAnsi="Cambria Math" w:cstheme="majorHAnsi"/>
                  <w:lang w:val="en"/>
                </w:rPr>
                <m:t>k</m:t>
              </m:r>
            </m:sub>
          </m:sSub>
          <m:r>
            <w:rPr>
              <w:rFonts w:ascii="Cambria Math" w:hAnsi="Cambria Math" w:cstheme="majorHAnsi"/>
              <w:lang w:val="en"/>
            </w:rPr>
            <m:t>=</m:t>
          </m:r>
          <m:nary>
            <m:naryPr>
              <m:chr m:val="∑"/>
              <m:limLoc m:val="undOvr"/>
              <m:ctrlPr>
                <w:rPr>
                  <w:rFonts w:ascii="Cambria Math" w:hAnsi="Cambria Math" w:cstheme="majorHAnsi"/>
                  <w:i/>
                  <w:lang w:val="en"/>
                </w:rPr>
              </m:ctrlPr>
            </m:naryPr>
            <m:sub>
              <m:r>
                <w:rPr>
                  <w:rFonts w:ascii="Cambria Math" w:hAnsi="Cambria Math" w:cstheme="majorHAnsi"/>
                  <w:lang w:val="en"/>
                </w:rPr>
                <m:t>i=1</m:t>
              </m:r>
            </m:sub>
            <m:sup>
              <m:r>
                <w:rPr>
                  <w:rFonts w:ascii="Cambria Math" w:hAnsi="Cambria Math" w:cstheme="majorHAnsi"/>
                  <w:lang w:val="en"/>
                </w:rPr>
                <m:t>p</m:t>
              </m:r>
            </m:sup>
            <m:e>
              <m:sSub>
                <m:sSubPr>
                  <m:ctrlPr>
                    <w:rPr>
                      <w:rFonts w:ascii="Cambria Math" w:hAnsi="Cambria Math" w:cstheme="majorHAnsi"/>
                      <w:i/>
                      <w:lang w:val="en"/>
                    </w:rPr>
                  </m:ctrlPr>
                </m:sSubPr>
                <m:e>
                  <m:r>
                    <w:rPr>
                      <w:rFonts w:ascii="Cambria Math" w:hAnsi="Cambria Math" w:cstheme="majorHAnsi"/>
                      <w:lang w:val="en"/>
                    </w:rPr>
                    <m:t>c</m:t>
                  </m:r>
                </m:e>
                <m:sub>
                  <m:r>
                    <w:rPr>
                      <w:rFonts w:ascii="Cambria Math" w:hAnsi="Cambria Math" w:cstheme="majorHAnsi"/>
                      <w:lang w:val="en"/>
                    </w:rPr>
                    <m:t>i</m:t>
                  </m:r>
                </m:sub>
              </m:sSub>
              <m:sSub>
                <m:sSubPr>
                  <m:ctrlPr>
                    <w:rPr>
                      <w:rFonts w:ascii="Cambria Math" w:hAnsi="Cambria Math" w:cstheme="majorHAnsi"/>
                      <w:i/>
                      <w:lang w:val="en"/>
                    </w:rPr>
                  </m:ctrlPr>
                </m:sSubPr>
                <m:e>
                  <m:r>
                    <w:rPr>
                      <w:rFonts w:ascii="Cambria Math" w:hAnsi="Cambria Math" w:cstheme="majorHAnsi"/>
                      <w:lang w:val="en"/>
                    </w:rPr>
                    <m:t>M</m:t>
                  </m:r>
                </m:e>
                <m:sub>
                  <m:r>
                    <w:rPr>
                      <w:rFonts w:ascii="Cambria Math" w:hAnsi="Cambria Math" w:cstheme="majorHAnsi"/>
                      <w:lang w:val="en"/>
                    </w:rPr>
                    <m:t>i</m:t>
                  </m:r>
                </m:sub>
              </m:sSub>
            </m:e>
          </m:nary>
        </m:oMath>
      </m:oMathPara>
    </w:p>
    <w:p w14:paraId="7693CF33" w14:textId="374E9697" w:rsidR="00573AEE" w:rsidRPr="009970FE" w:rsidRDefault="00573AEE" w:rsidP="00573AEE">
      <w:pPr>
        <w:tabs>
          <w:tab w:val="num" w:pos="720"/>
        </w:tabs>
        <w:spacing w:line="360" w:lineRule="auto"/>
        <w:ind w:firstLine="0"/>
        <w:jc w:val="both"/>
        <w:rPr>
          <w:rFonts w:asciiTheme="majorHAnsi" w:hAnsiTheme="majorHAnsi" w:cstheme="majorHAnsi"/>
        </w:rPr>
      </w:pPr>
      <w:r>
        <w:rPr>
          <w:rFonts w:asciiTheme="majorHAnsi" w:hAnsiTheme="majorHAnsi" w:cstheme="majorHAnsi"/>
          <w:lang w:val="en"/>
        </w:rPr>
        <w:t xml:space="preserve">where </w:t>
      </w:r>
      <m:oMath>
        <m:sSub>
          <m:sSubPr>
            <m:ctrlPr>
              <w:rPr>
                <w:rFonts w:ascii="Cambria Math" w:hAnsi="Cambria Math" w:cstheme="majorHAnsi"/>
                <w:i/>
                <w:lang w:val="en"/>
              </w:rPr>
            </m:ctrlPr>
          </m:sSubPr>
          <m:e>
            <m:r>
              <w:rPr>
                <w:rFonts w:ascii="Cambria Math" w:hAnsi="Cambria Math" w:cstheme="majorHAnsi"/>
                <w:lang w:val="en"/>
              </w:rPr>
              <m:t>M</m:t>
            </m:r>
          </m:e>
          <m:sub>
            <m:r>
              <w:rPr>
                <w:rFonts w:ascii="Cambria Math" w:hAnsi="Cambria Math" w:cstheme="majorHAnsi"/>
                <w:lang w:val="en"/>
              </w:rPr>
              <m:t>i</m:t>
            </m:r>
          </m:sub>
        </m:sSub>
      </m:oMath>
      <w:r>
        <w:rPr>
          <w:rFonts w:asciiTheme="majorHAnsi" w:hAnsiTheme="majorHAnsi" w:cstheme="majorHAnsi"/>
          <w:lang w:val="en"/>
        </w:rPr>
        <w:t xml:space="preserve"> is the </w:t>
      </w:r>
      <w:r w:rsidRPr="00551634">
        <w:rPr>
          <w:rFonts w:asciiTheme="majorHAnsi" w:hAnsiTheme="majorHAnsi" w:cstheme="majorHAnsi"/>
          <w:i/>
          <w:iCs/>
          <w:lang w:val="en"/>
        </w:rPr>
        <w:t>i</w:t>
      </w:r>
      <w:r>
        <w:rPr>
          <w:rFonts w:asciiTheme="majorHAnsi" w:hAnsiTheme="majorHAnsi" w:cstheme="majorHAnsi"/>
          <w:lang w:val="en"/>
        </w:rPr>
        <w:t>th AVM Performance Metric error value</w:t>
      </w:r>
      <w:r w:rsidR="00563CB1">
        <w:rPr>
          <w:rFonts w:asciiTheme="majorHAnsi" w:hAnsiTheme="majorHAnsi" w:cstheme="majorHAnsi"/>
          <w:lang w:val="en"/>
        </w:rPr>
        <w:t xml:space="preserve"> </w:t>
      </w:r>
      <w:r>
        <w:rPr>
          <w:rStyle w:val="FootnoteReference"/>
          <w:rFonts w:asciiTheme="majorHAnsi" w:hAnsiTheme="majorHAnsi" w:cstheme="majorHAnsi"/>
          <w:lang w:val="en"/>
        </w:rPr>
        <w:footnoteReference w:id="20"/>
      </w:r>
      <w:r>
        <w:rPr>
          <w:rFonts w:asciiTheme="majorHAnsi" w:hAnsiTheme="majorHAnsi" w:cstheme="majorHAnsi"/>
          <w:lang w:val="en"/>
        </w:rPr>
        <w:t xml:space="preserve"> and </w:t>
      </w:r>
      <m:oMath>
        <m:sSub>
          <m:sSubPr>
            <m:ctrlPr>
              <w:rPr>
                <w:rFonts w:ascii="Cambria Math" w:hAnsi="Cambria Math" w:cstheme="majorHAnsi"/>
                <w:i/>
                <w:lang w:val="en"/>
              </w:rPr>
            </m:ctrlPr>
          </m:sSubPr>
          <m:e>
            <m:r>
              <w:rPr>
                <w:rFonts w:ascii="Cambria Math" w:hAnsi="Cambria Math" w:cstheme="majorHAnsi"/>
                <w:lang w:val="en"/>
              </w:rPr>
              <m:t>c</m:t>
            </m:r>
          </m:e>
          <m:sub>
            <m:r>
              <w:rPr>
                <w:rFonts w:ascii="Cambria Math" w:hAnsi="Cambria Math" w:cstheme="majorHAnsi"/>
                <w:lang w:val="en"/>
              </w:rPr>
              <m:t>i</m:t>
            </m:r>
          </m:sub>
        </m:sSub>
      </m:oMath>
      <w:r>
        <w:rPr>
          <w:rFonts w:asciiTheme="majorHAnsi" w:hAnsiTheme="majorHAnsi" w:cstheme="majorHAnsi"/>
          <w:lang w:val="en"/>
        </w:rPr>
        <w:t xml:space="preserve"> is the weight assigned to the </w:t>
      </w:r>
      <w:r w:rsidRPr="00551634">
        <w:rPr>
          <w:rFonts w:asciiTheme="majorHAnsi" w:hAnsiTheme="majorHAnsi" w:cstheme="majorHAnsi"/>
          <w:i/>
          <w:iCs/>
          <w:lang w:val="en"/>
        </w:rPr>
        <w:t>i</w:t>
      </w:r>
      <w:r>
        <w:rPr>
          <w:rFonts w:asciiTheme="majorHAnsi" w:hAnsiTheme="majorHAnsi" w:cstheme="majorHAnsi"/>
          <w:lang w:val="en"/>
        </w:rPr>
        <w:t xml:space="preserve">th metric. </w:t>
      </w:r>
      <w:r w:rsidR="00042C9F">
        <w:rPr>
          <w:rFonts w:asciiTheme="majorHAnsi" w:hAnsiTheme="majorHAnsi" w:cstheme="majorHAnsi"/>
          <w:lang w:val="en"/>
        </w:rPr>
        <w:t>T</w:t>
      </w:r>
      <w:r>
        <w:rPr>
          <w:rFonts w:asciiTheme="majorHAnsi" w:hAnsiTheme="majorHAnsi" w:cstheme="majorHAnsi"/>
          <w:lang w:val="en"/>
        </w:rPr>
        <w:t xml:space="preserve">he AVM-ES is a linear combination of </w:t>
      </w:r>
      <w:r>
        <w:rPr>
          <w:rFonts w:asciiTheme="majorHAnsi" w:hAnsiTheme="majorHAnsi" w:cstheme="majorHAnsi"/>
          <w:i/>
          <w:iCs/>
          <w:lang w:val="en"/>
        </w:rPr>
        <w:t xml:space="preserve">p </w:t>
      </w:r>
      <w:r>
        <w:rPr>
          <w:rFonts w:asciiTheme="majorHAnsi" w:hAnsiTheme="majorHAnsi" w:cstheme="majorHAnsi"/>
          <w:lang w:val="en"/>
        </w:rPr>
        <w:t xml:space="preserve">AVM Performance Metrics, where the individual coefficients, called component loadings, reflect the variability observed in each variable, </w:t>
      </w:r>
      <w:r>
        <w:rPr>
          <w:rFonts w:asciiTheme="majorHAnsi" w:hAnsiTheme="majorHAnsi" w:cstheme="majorHAnsi"/>
          <w:lang w:val="en"/>
        </w:rPr>
        <w:lastRenderedPageBreak/>
        <w:t xml:space="preserve">while simultaneously accounting for the correlation between variables. </w:t>
      </w:r>
      <w:r w:rsidRPr="009970FE">
        <w:rPr>
          <w:rFonts w:asciiTheme="majorHAnsi" w:hAnsiTheme="majorHAnsi" w:cstheme="majorHAnsi"/>
        </w:rPr>
        <w:t xml:space="preserve">If all variables used in the PCA are positively correlated, then each coefficient, </w:t>
      </w:r>
      <m:oMath>
        <m:sSub>
          <m:sSubPr>
            <m:ctrlPr>
              <w:rPr>
                <w:rFonts w:ascii="Cambria Math" w:hAnsi="Cambria Math" w:cstheme="majorHAnsi"/>
                <w:i/>
                <w:lang w:val="en"/>
              </w:rPr>
            </m:ctrlPr>
          </m:sSubPr>
          <m:e>
            <m:r>
              <w:rPr>
                <w:rFonts w:ascii="Cambria Math" w:hAnsi="Cambria Math" w:cstheme="majorHAnsi"/>
                <w:lang w:val="en"/>
              </w:rPr>
              <m:t>c</m:t>
            </m:r>
          </m:e>
          <m:sub>
            <m:r>
              <w:rPr>
                <w:rFonts w:ascii="Cambria Math" w:hAnsi="Cambria Math" w:cstheme="majorHAnsi"/>
                <w:lang w:val="en"/>
              </w:rPr>
              <m:t>i</m:t>
            </m:r>
          </m:sub>
        </m:sSub>
      </m:oMath>
      <w:r w:rsidRPr="009970FE">
        <w:rPr>
          <w:rFonts w:asciiTheme="majorHAnsi" w:hAnsiTheme="majorHAnsi" w:cstheme="majorHAnsi"/>
        </w:rPr>
        <w:t>, in the AVM-ES</w:t>
      </w:r>
      <w:r>
        <w:rPr>
          <w:rFonts w:asciiTheme="majorHAnsi" w:hAnsiTheme="majorHAnsi" w:cstheme="majorHAnsi"/>
        </w:rPr>
        <w:t xml:space="preserve"> </w:t>
      </w:r>
      <w:r w:rsidRPr="009970FE">
        <w:rPr>
          <w:rFonts w:asciiTheme="majorHAnsi" w:hAnsiTheme="majorHAnsi" w:cstheme="majorHAnsi"/>
        </w:rPr>
        <w:t>will be positive, producing a weighted average of the individual AVM Performance Metrics</w:t>
      </w:r>
      <w:r>
        <w:rPr>
          <w:rFonts w:asciiTheme="majorHAnsi" w:hAnsiTheme="majorHAnsi" w:cstheme="majorHAnsi"/>
        </w:rPr>
        <w:t xml:space="preserve"> (as demonstrated in the </w:t>
      </w:r>
      <w:r w:rsidR="00602EB3">
        <w:rPr>
          <w:rFonts w:asciiTheme="majorHAnsi" w:hAnsiTheme="majorHAnsi" w:cstheme="majorHAnsi"/>
        </w:rPr>
        <w:t xml:space="preserve">first </w:t>
      </w:r>
      <w:r>
        <w:rPr>
          <w:rFonts w:asciiTheme="majorHAnsi" w:hAnsiTheme="majorHAnsi" w:cstheme="majorHAnsi"/>
        </w:rPr>
        <w:t xml:space="preserve">analysis in Section </w:t>
      </w:r>
      <w:r w:rsidR="00602EB3">
        <w:rPr>
          <w:rFonts w:asciiTheme="majorHAnsi" w:hAnsiTheme="majorHAnsi" w:cstheme="majorHAnsi"/>
        </w:rPr>
        <w:t>5a</w:t>
      </w:r>
      <w:r>
        <w:rPr>
          <w:rFonts w:asciiTheme="majorHAnsi" w:hAnsiTheme="majorHAnsi" w:cstheme="majorHAnsi"/>
        </w:rPr>
        <w:t>)</w:t>
      </w:r>
      <w:r w:rsidRPr="009970FE">
        <w:rPr>
          <w:rFonts w:asciiTheme="majorHAnsi" w:hAnsiTheme="majorHAnsi" w:cstheme="majorHAnsi"/>
        </w:rPr>
        <w:t>.</w:t>
      </w:r>
      <w:r>
        <w:rPr>
          <w:rFonts w:asciiTheme="majorHAnsi" w:hAnsiTheme="majorHAnsi" w:cstheme="majorHAnsi"/>
        </w:rPr>
        <w:t xml:space="preserve"> Note that other data mining </w:t>
      </w:r>
      <w:r w:rsidR="00735A33">
        <w:rPr>
          <w:rFonts w:asciiTheme="majorHAnsi" w:hAnsiTheme="majorHAnsi" w:cstheme="majorHAnsi"/>
        </w:rPr>
        <w:t xml:space="preserve">or machine learning </w:t>
      </w:r>
      <w:r>
        <w:rPr>
          <w:rFonts w:asciiTheme="majorHAnsi" w:hAnsiTheme="majorHAnsi" w:cstheme="majorHAnsi"/>
        </w:rPr>
        <w:t xml:space="preserve">techniques, such as decision trees, cluster analysis, random forests, etc., can alternatively be employed to extract patterns that differentiate </w:t>
      </w:r>
      <w:r w:rsidRPr="006D468D">
        <w:rPr>
          <w:rFonts w:ascii="Times New Roman" w:hAnsi="Times New Roman" w:cs="Times New Roman"/>
        </w:rPr>
        <w:t>between AVMs using AVM Performance Metrics</w:t>
      </w:r>
      <w:r w:rsidR="00555300" w:rsidRPr="006D468D">
        <w:rPr>
          <w:rFonts w:ascii="Times New Roman" w:hAnsi="Times New Roman" w:cs="Times New Roman"/>
        </w:rPr>
        <w:t>.  H</w:t>
      </w:r>
      <w:r w:rsidRPr="006D468D">
        <w:rPr>
          <w:rFonts w:ascii="Times New Roman" w:hAnsi="Times New Roman" w:cs="Times New Roman"/>
        </w:rPr>
        <w:t xml:space="preserve">owever, </w:t>
      </w:r>
      <w:r w:rsidR="004D232D">
        <w:rPr>
          <w:rFonts w:ascii="Times New Roman" w:hAnsi="Times New Roman" w:cs="Times New Roman"/>
        </w:rPr>
        <w:t xml:space="preserve">these </w:t>
      </w:r>
      <w:r w:rsidR="006D468D" w:rsidRPr="006D468D">
        <w:rPr>
          <w:rFonts w:ascii="Times New Roman" w:hAnsi="Times New Roman" w:cs="Times New Roman"/>
        </w:rPr>
        <w:t>machine leaning models</w:t>
      </w:r>
      <w:r w:rsidR="00735A33" w:rsidRPr="006D468D">
        <w:rPr>
          <w:rFonts w:ascii="Times New Roman" w:hAnsi="Times New Roman" w:cs="Times New Roman"/>
        </w:rPr>
        <w:t xml:space="preserve"> </w:t>
      </w:r>
      <w:r w:rsidR="00555300" w:rsidRPr="006D468D">
        <w:rPr>
          <w:rFonts w:ascii="Times New Roman" w:hAnsi="Times New Roman" w:cs="Times New Roman"/>
        </w:rPr>
        <w:t xml:space="preserve">offer little </w:t>
      </w:r>
      <w:r w:rsidR="00735A33" w:rsidRPr="006D468D">
        <w:rPr>
          <w:rFonts w:ascii="Times New Roman" w:hAnsi="Times New Roman" w:cs="Times New Roman"/>
        </w:rPr>
        <w:t xml:space="preserve">explanation of </w:t>
      </w:r>
      <w:r w:rsidR="00052392">
        <w:rPr>
          <w:rFonts w:ascii="Times New Roman" w:hAnsi="Times New Roman" w:cs="Times New Roman"/>
        </w:rPr>
        <w:t>any</w:t>
      </w:r>
      <w:r w:rsidR="006D468D" w:rsidRPr="006D468D">
        <w:rPr>
          <w:rFonts w:ascii="Times New Roman" w:hAnsi="Times New Roman" w:cs="Times New Roman"/>
        </w:rPr>
        <w:t xml:space="preserve"> potential cause-effect</w:t>
      </w:r>
      <w:r w:rsidR="00735A33" w:rsidRPr="006D468D">
        <w:rPr>
          <w:rFonts w:ascii="Times New Roman" w:hAnsi="Times New Roman" w:cs="Times New Roman"/>
        </w:rPr>
        <w:t xml:space="preserve"> relationship</w:t>
      </w:r>
      <w:r w:rsidR="006D468D" w:rsidRPr="006D468D">
        <w:rPr>
          <w:rFonts w:ascii="Times New Roman" w:hAnsi="Times New Roman" w:cs="Times New Roman"/>
        </w:rPr>
        <w:t>s</w:t>
      </w:r>
      <w:r w:rsidR="00735A33" w:rsidRPr="006D468D">
        <w:rPr>
          <w:rFonts w:ascii="Times New Roman" w:hAnsi="Times New Roman" w:cs="Times New Roman"/>
        </w:rPr>
        <w:t xml:space="preserve"> </w:t>
      </w:r>
      <w:r w:rsidR="00555300" w:rsidRPr="006D468D">
        <w:rPr>
          <w:rFonts w:ascii="Times New Roman" w:hAnsi="Times New Roman" w:cs="Times New Roman"/>
        </w:rPr>
        <w:t>b</w:t>
      </w:r>
      <w:r w:rsidR="00735A33" w:rsidRPr="006D468D">
        <w:rPr>
          <w:rFonts w:ascii="Times New Roman" w:hAnsi="Times New Roman" w:cs="Times New Roman"/>
        </w:rPr>
        <w:t>etween</w:t>
      </w:r>
      <w:r w:rsidR="006D468D" w:rsidRPr="006D468D">
        <w:rPr>
          <w:rFonts w:ascii="Times New Roman" w:hAnsi="Times New Roman" w:cs="Times New Roman"/>
        </w:rPr>
        <w:t xml:space="preserve"> </w:t>
      </w:r>
      <w:r w:rsidR="00735A33" w:rsidRPr="006D468D">
        <w:rPr>
          <w:rFonts w:ascii="Times New Roman" w:hAnsi="Times New Roman" w:cs="Times New Roman"/>
        </w:rPr>
        <w:t>variables</w:t>
      </w:r>
      <w:r w:rsidR="00052392">
        <w:rPr>
          <w:rFonts w:ascii="Times New Roman" w:hAnsi="Times New Roman" w:cs="Times New Roman"/>
        </w:rPr>
        <w:t xml:space="preserve"> (</w:t>
      </w:r>
      <w:r w:rsidR="00052392" w:rsidRPr="006D468D">
        <w:rPr>
          <w:rFonts w:ascii="Times New Roman" w:hAnsi="Times New Roman" w:cs="Times New Roman"/>
        </w:rPr>
        <w:t>V</w:t>
      </w:r>
      <w:r w:rsidR="00052392">
        <w:rPr>
          <w:rFonts w:ascii="Times New Roman" w:hAnsi="Times New Roman" w:cs="Times New Roman"/>
        </w:rPr>
        <w:t>a</w:t>
      </w:r>
      <w:r w:rsidR="00052392" w:rsidRPr="006D468D">
        <w:rPr>
          <w:rFonts w:ascii="Times New Roman" w:hAnsi="Times New Roman" w:cs="Times New Roman"/>
        </w:rPr>
        <w:t>lier</w:t>
      </w:r>
      <w:r w:rsidR="00052392">
        <w:rPr>
          <w:rFonts w:ascii="Times New Roman" w:hAnsi="Times New Roman" w:cs="Times New Roman"/>
        </w:rPr>
        <w:t xml:space="preserve">, </w:t>
      </w:r>
      <w:r w:rsidR="00052392" w:rsidRPr="006D468D">
        <w:rPr>
          <w:rFonts w:ascii="Times New Roman" w:hAnsi="Times New Roman" w:cs="Times New Roman"/>
        </w:rPr>
        <w:t>2020</w:t>
      </w:r>
      <w:r w:rsidR="00052392">
        <w:rPr>
          <w:rFonts w:ascii="Times New Roman" w:hAnsi="Times New Roman" w:cs="Times New Roman"/>
        </w:rPr>
        <w:t>)</w:t>
      </w:r>
      <w:r w:rsidR="0074156A" w:rsidRPr="006D468D">
        <w:rPr>
          <w:rFonts w:ascii="Times New Roman" w:hAnsi="Times New Roman" w:cs="Times New Roman"/>
        </w:rPr>
        <w:t>.</w:t>
      </w:r>
      <w:r w:rsidR="00052392">
        <w:rPr>
          <w:rFonts w:ascii="Times New Roman" w:hAnsi="Times New Roman" w:cs="Times New Roman"/>
        </w:rPr>
        <w:t xml:space="preserve"> </w:t>
      </w:r>
      <w:r w:rsidR="0074156A" w:rsidRPr="006D468D">
        <w:rPr>
          <w:rFonts w:ascii="Times New Roman" w:hAnsi="Times New Roman" w:cs="Times New Roman"/>
        </w:rPr>
        <w:t>I</w:t>
      </w:r>
      <w:r w:rsidRPr="006D468D">
        <w:rPr>
          <w:rFonts w:ascii="Times New Roman" w:hAnsi="Times New Roman" w:cs="Times New Roman"/>
        </w:rPr>
        <w:t xml:space="preserve">n contrast, </w:t>
      </w:r>
      <w:r w:rsidR="0074156A" w:rsidRPr="006D468D">
        <w:rPr>
          <w:rFonts w:ascii="Times New Roman" w:hAnsi="Times New Roman" w:cs="Times New Roman"/>
        </w:rPr>
        <w:t>the</w:t>
      </w:r>
      <w:r w:rsidRPr="006D468D">
        <w:rPr>
          <w:rFonts w:ascii="Times New Roman" w:hAnsi="Times New Roman" w:cs="Times New Roman"/>
        </w:rPr>
        <w:t xml:space="preserve"> internal coefficients</w:t>
      </w:r>
      <w:r w:rsidR="001D3E7D" w:rsidRPr="006D468D">
        <w:rPr>
          <w:rFonts w:ascii="Times New Roman" w:hAnsi="Times New Roman" w:cs="Times New Roman"/>
        </w:rPr>
        <w:t xml:space="preserve"> in a PCA (</w:t>
      </w:r>
      <w:r w:rsidR="00344362" w:rsidRPr="006D468D">
        <w:rPr>
          <w:rFonts w:ascii="Times New Roman" w:hAnsi="Times New Roman" w:cs="Times New Roman"/>
        </w:rPr>
        <w:t xml:space="preserve">the set of </w:t>
      </w:r>
      <m:oMath>
        <m:sSub>
          <m:sSubPr>
            <m:ctrlPr>
              <w:rPr>
                <w:rFonts w:ascii="Cambria Math" w:hAnsi="Cambria Math" w:cs="Times New Roman"/>
                <w:i/>
                <w:lang w:val="en"/>
              </w:rPr>
            </m:ctrlPr>
          </m:sSubPr>
          <m:e>
            <m:r>
              <w:rPr>
                <w:rFonts w:ascii="Cambria Math" w:hAnsi="Cambria Math" w:cs="Times New Roman"/>
                <w:lang w:val="en"/>
              </w:rPr>
              <m:t>c</m:t>
            </m:r>
          </m:e>
          <m:sub>
            <m:r>
              <w:rPr>
                <w:rFonts w:ascii="Cambria Math" w:hAnsi="Cambria Math" w:cs="Times New Roman"/>
                <w:lang w:val="en"/>
              </w:rPr>
              <m:t>i</m:t>
            </m:r>
          </m:sub>
        </m:sSub>
      </m:oMath>
      <w:r w:rsidR="0074156A" w:rsidRPr="006D468D">
        <w:rPr>
          <w:rFonts w:ascii="Times New Roman" w:hAnsi="Times New Roman" w:cs="Times New Roman"/>
        </w:rPr>
        <w:t>’s</w:t>
      </w:r>
      <w:r w:rsidR="001D3E7D" w:rsidRPr="006D468D">
        <w:rPr>
          <w:rFonts w:ascii="Times New Roman" w:hAnsi="Times New Roman" w:cs="Times New Roman"/>
        </w:rPr>
        <w:t>)</w:t>
      </w:r>
      <w:r w:rsidR="00344362" w:rsidRPr="006D468D">
        <w:rPr>
          <w:rFonts w:ascii="Times New Roman" w:hAnsi="Times New Roman" w:cs="Times New Roman"/>
        </w:rPr>
        <w:t>,</w:t>
      </w:r>
      <w:r w:rsidR="0074156A" w:rsidRPr="006D468D">
        <w:rPr>
          <w:rFonts w:ascii="Times New Roman" w:hAnsi="Times New Roman" w:cs="Times New Roman"/>
        </w:rPr>
        <w:t xml:space="preserve"> </w:t>
      </w:r>
      <w:r w:rsidR="001D3E7D" w:rsidRPr="006D468D">
        <w:rPr>
          <w:rFonts w:ascii="Times New Roman" w:hAnsi="Times New Roman" w:cs="Times New Roman"/>
        </w:rPr>
        <w:t xml:space="preserve">offer </w:t>
      </w:r>
      <w:r w:rsidRPr="006D468D">
        <w:rPr>
          <w:rFonts w:ascii="Times New Roman" w:hAnsi="Times New Roman" w:cs="Times New Roman"/>
        </w:rPr>
        <w:t>meaningful interpretation</w:t>
      </w:r>
      <w:r w:rsidR="001D3E7D" w:rsidRPr="006D468D">
        <w:rPr>
          <w:rFonts w:ascii="Times New Roman" w:hAnsi="Times New Roman" w:cs="Times New Roman"/>
        </w:rPr>
        <w:t>s</w:t>
      </w:r>
      <w:r w:rsidRPr="006D468D">
        <w:rPr>
          <w:rFonts w:ascii="Times New Roman" w:hAnsi="Times New Roman" w:cs="Times New Roman"/>
        </w:rPr>
        <w:t xml:space="preserve"> (</w:t>
      </w:r>
      <w:r>
        <w:rPr>
          <w:rFonts w:asciiTheme="majorHAnsi" w:hAnsiTheme="majorHAnsi" w:cstheme="majorHAnsi"/>
        </w:rPr>
        <w:t xml:space="preserve">as demonstrated empirically in </w:t>
      </w:r>
      <w:r w:rsidR="00042C9F">
        <w:rPr>
          <w:rFonts w:asciiTheme="majorHAnsi" w:hAnsiTheme="majorHAnsi" w:cstheme="majorHAnsi"/>
        </w:rPr>
        <w:t>S</w:t>
      </w:r>
      <w:r>
        <w:rPr>
          <w:rFonts w:asciiTheme="majorHAnsi" w:hAnsiTheme="majorHAnsi" w:cstheme="majorHAnsi"/>
        </w:rPr>
        <w:t>ection</w:t>
      </w:r>
      <w:r w:rsidR="00042C9F">
        <w:rPr>
          <w:rFonts w:asciiTheme="majorHAnsi" w:hAnsiTheme="majorHAnsi" w:cstheme="majorHAnsi"/>
        </w:rPr>
        <w:t xml:space="preserve"> 5a</w:t>
      </w:r>
      <w:r>
        <w:rPr>
          <w:rFonts w:asciiTheme="majorHAnsi" w:hAnsiTheme="majorHAnsi" w:cstheme="majorHAnsi"/>
        </w:rPr>
        <w:t xml:space="preserve">).  </w:t>
      </w:r>
    </w:p>
    <w:p w14:paraId="1F80C2FA" w14:textId="6154525B" w:rsidR="00573AEE" w:rsidRPr="00796DFE" w:rsidRDefault="00042C9F" w:rsidP="00573AEE">
      <w:pPr>
        <w:tabs>
          <w:tab w:val="num" w:pos="720"/>
        </w:tabs>
        <w:spacing w:before="240" w:line="360" w:lineRule="auto"/>
        <w:ind w:firstLine="0"/>
        <w:jc w:val="both"/>
        <w:rPr>
          <w:rFonts w:asciiTheme="majorHAnsi" w:hAnsiTheme="majorHAnsi" w:cstheme="majorHAnsi"/>
        </w:rPr>
      </w:pPr>
      <w:r>
        <w:rPr>
          <w:rFonts w:asciiTheme="majorHAnsi" w:hAnsiTheme="majorHAnsi" w:cstheme="majorHAnsi"/>
          <w:lang w:val="en"/>
        </w:rPr>
        <w:t>T</w:t>
      </w:r>
      <w:r w:rsidR="00573AEE">
        <w:rPr>
          <w:rFonts w:asciiTheme="majorHAnsi" w:hAnsiTheme="majorHAnsi" w:cstheme="majorHAnsi"/>
          <w:lang w:val="en"/>
        </w:rPr>
        <w:t xml:space="preserve">he </w:t>
      </w:r>
      <w:r w:rsidR="007D2F9F">
        <w:rPr>
          <w:rFonts w:asciiTheme="majorHAnsi" w:hAnsiTheme="majorHAnsi" w:cstheme="majorHAnsi"/>
          <w:lang w:val="en"/>
        </w:rPr>
        <w:t xml:space="preserve">PCA </w:t>
      </w:r>
      <w:r w:rsidR="00573AEE">
        <w:rPr>
          <w:rFonts w:asciiTheme="majorHAnsi" w:hAnsiTheme="majorHAnsi" w:cstheme="majorHAnsi"/>
          <w:lang w:val="en"/>
        </w:rPr>
        <w:t xml:space="preserve">coefficients, the set of </w:t>
      </w:r>
      <m:oMath>
        <m:sSub>
          <m:sSubPr>
            <m:ctrlPr>
              <w:rPr>
                <w:rFonts w:ascii="Cambria Math" w:hAnsi="Cambria Math" w:cstheme="majorHAnsi"/>
                <w:i/>
                <w:lang w:val="en"/>
              </w:rPr>
            </m:ctrlPr>
          </m:sSubPr>
          <m:e>
            <m:r>
              <w:rPr>
                <w:rFonts w:ascii="Cambria Math" w:hAnsi="Cambria Math" w:cstheme="majorHAnsi"/>
                <w:lang w:val="en"/>
              </w:rPr>
              <m:t>c</m:t>
            </m:r>
          </m:e>
          <m:sub>
            <m:r>
              <w:rPr>
                <w:rFonts w:ascii="Cambria Math" w:hAnsi="Cambria Math" w:cstheme="majorHAnsi"/>
                <w:lang w:val="en"/>
              </w:rPr>
              <m:t>i</m:t>
            </m:r>
          </m:sub>
        </m:sSub>
        <m:r>
          <w:rPr>
            <w:rFonts w:ascii="Cambria Math" w:hAnsi="Cambria Math" w:cstheme="majorHAnsi"/>
            <w:lang w:val="en"/>
          </w:rPr>
          <m:t>'s</m:t>
        </m:r>
      </m:oMath>
      <w:r w:rsidR="00573AEE">
        <w:rPr>
          <w:rFonts w:asciiTheme="majorHAnsi" w:hAnsiTheme="majorHAnsi" w:cstheme="majorHAnsi"/>
          <w:lang w:val="en"/>
        </w:rPr>
        <w:t xml:space="preserve">, represent the components of the eigenvector oriented in the direction of maximum variability for the AVM Performance Metrics, and whose corresponding eigenvalue allows calculation of the percentage of total variability explained by the first principal </w:t>
      </w:r>
      <w:r w:rsidR="00573AEE" w:rsidRPr="005A22F6">
        <w:rPr>
          <w:rFonts w:asciiTheme="majorHAnsi" w:hAnsiTheme="majorHAnsi" w:cstheme="majorHAnsi"/>
          <w:lang w:val="en"/>
        </w:rPr>
        <w:t xml:space="preserve">component. </w:t>
      </w:r>
      <w:r w:rsidR="00573AEE" w:rsidRPr="005A22F6">
        <w:rPr>
          <w:rFonts w:asciiTheme="majorHAnsi" w:hAnsiTheme="majorHAnsi" w:cstheme="majorHAnsi"/>
        </w:rPr>
        <w:t xml:space="preserve">If each of the </w:t>
      </w:r>
      <w:r w:rsidR="00573AEE" w:rsidRPr="005A22F6">
        <w:rPr>
          <w:rFonts w:asciiTheme="majorHAnsi" w:hAnsiTheme="majorHAnsi" w:cstheme="majorHAnsi"/>
          <w:i/>
          <w:iCs/>
        </w:rPr>
        <w:t>p</w:t>
      </w:r>
      <w:r w:rsidR="00573AEE" w:rsidRPr="005A22F6">
        <w:rPr>
          <w:rFonts w:asciiTheme="majorHAnsi" w:hAnsiTheme="majorHAnsi" w:cstheme="majorHAnsi"/>
        </w:rPr>
        <w:t xml:space="preserve"> AVM Performance Metrics used in the AVM-ES is based upon the percentage sales errors, then the</w:t>
      </w:r>
      <w:r w:rsidR="00573AEE" w:rsidRPr="00C2423A">
        <w:rPr>
          <w:rFonts w:asciiTheme="majorHAnsi" w:hAnsiTheme="majorHAnsi" w:cstheme="majorHAnsi"/>
        </w:rPr>
        <w:t xml:space="preserve"> common scale allows use of the variance-covariance matrix for the </w:t>
      </w:r>
      <w:r w:rsidR="00573AEE" w:rsidRPr="00407BB1">
        <w:rPr>
          <w:rFonts w:asciiTheme="majorHAnsi" w:hAnsiTheme="majorHAnsi" w:cstheme="majorHAnsi"/>
        </w:rPr>
        <w:t xml:space="preserve">PCA (as illustrated </w:t>
      </w:r>
      <w:r w:rsidR="0090482E" w:rsidRPr="00407BB1">
        <w:rPr>
          <w:rFonts w:asciiTheme="majorHAnsi" w:hAnsiTheme="majorHAnsi" w:cstheme="majorHAnsi"/>
        </w:rPr>
        <w:t>in the first</w:t>
      </w:r>
      <w:r w:rsidR="004F0EE8">
        <w:rPr>
          <w:rFonts w:asciiTheme="majorHAnsi" w:hAnsiTheme="majorHAnsi" w:cstheme="majorHAnsi"/>
        </w:rPr>
        <w:t xml:space="preserve"> </w:t>
      </w:r>
      <w:r w:rsidR="00573AEE" w:rsidRPr="00407BB1">
        <w:rPr>
          <w:rFonts w:asciiTheme="majorHAnsi" w:hAnsiTheme="majorHAnsi" w:cstheme="majorHAnsi"/>
        </w:rPr>
        <w:t xml:space="preserve">analysis in Section </w:t>
      </w:r>
      <w:r w:rsidR="00407BB1" w:rsidRPr="00407BB1">
        <w:rPr>
          <w:rFonts w:asciiTheme="majorHAnsi" w:hAnsiTheme="majorHAnsi" w:cstheme="majorHAnsi"/>
        </w:rPr>
        <w:t>5a</w:t>
      </w:r>
      <w:r w:rsidR="00573AEE" w:rsidRPr="00407BB1">
        <w:rPr>
          <w:rFonts w:asciiTheme="majorHAnsi" w:hAnsiTheme="majorHAnsi" w:cstheme="majorHAnsi"/>
        </w:rPr>
        <w:t>), however, if not, (as illustrated in the second</w:t>
      </w:r>
      <w:r w:rsidR="0090482E" w:rsidRPr="00407BB1">
        <w:rPr>
          <w:rFonts w:asciiTheme="majorHAnsi" w:hAnsiTheme="majorHAnsi" w:cstheme="majorHAnsi"/>
        </w:rPr>
        <w:t xml:space="preserve"> </w:t>
      </w:r>
      <w:r w:rsidR="00573AEE" w:rsidRPr="00407BB1">
        <w:rPr>
          <w:rFonts w:asciiTheme="majorHAnsi" w:hAnsiTheme="majorHAnsi" w:cstheme="majorHAnsi"/>
        </w:rPr>
        <w:t xml:space="preserve">analysis </w:t>
      </w:r>
      <w:r w:rsidR="0090482E" w:rsidRPr="00407BB1">
        <w:rPr>
          <w:rFonts w:asciiTheme="majorHAnsi" w:hAnsiTheme="majorHAnsi" w:cstheme="majorHAnsi"/>
        </w:rPr>
        <w:t>i</w:t>
      </w:r>
      <w:r w:rsidR="00573AEE" w:rsidRPr="00407BB1">
        <w:rPr>
          <w:rFonts w:asciiTheme="majorHAnsi" w:hAnsiTheme="majorHAnsi" w:cstheme="majorHAnsi"/>
        </w:rPr>
        <w:t xml:space="preserve">n Section </w:t>
      </w:r>
      <w:r w:rsidR="00407BB1" w:rsidRPr="00407BB1">
        <w:rPr>
          <w:rFonts w:asciiTheme="majorHAnsi" w:hAnsiTheme="majorHAnsi" w:cstheme="majorHAnsi"/>
        </w:rPr>
        <w:t>5a</w:t>
      </w:r>
      <w:r w:rsidR="00573AEE" w:rsidRPr="00407BB1">
        <w:rPr>
          <w:rFonts w:asciiTheme="majorHAnsi" w:hAnsiTheme="majorHAnsi" w:cstheme="majorHAnsi"/>
        </w:rPr>
        <w:t>), then</w:t>
      </w:r>
      <w:r w:rsidR="00573AEE" w:rsidRPr="00C2423A">
        <w:rPr>
          <w:rFonts w:asciiTheme="majorHAnsi" w:hAnsiTheme="majorHAnsi" w:cstheme="majorHAnsi"/>
        </w:rPr>
        <w:t xml:space="preserve"> a PCA based upon the correlation matrix is warranted</w:t>
      </w:r>
      <w:r w:rsidR="000F20DC">
        <w:rPr>
          <w:rFonts w:asciiTheme="majorHAnsi" w:hAnsiTheme="majorHAnsi" w:cstheme="majorHAnsi"/>
        </w:rPr>
        <w:t>.</w:t>
      </w:r>
    </w:p>
    <w:p w14:paraId="6824B338" w14:textId="656A89FB" w:rsidR="00573AEE" w:rsidRPr="00573AEE" w:rsidRDefault="00573AEE" w:rsidP="008B4F6B">
      <w:pPr>
        <w:tabs>
          <w:tab w:val="num" w:pos="720"/>
        </w:tabs>
        <w:spacing w:before="240" w:line="360" w:lineRule="auto"/>
        <w:ind w:firstLine="0"/>
        <w:jc w:val="both"/>
        <w:rPr>
          <w:rFonts w:asciiTheme="majorHAnsi" w:hAnsiTheme="majorHAnsi" w:cstheme="majorHAnsi"/>
          <w:lang w:val="en"/>
        </w:rPr>
      </w:pPr>
      <w:r w:rsidRPr="00A278E3">
        <w:rPr>
          <w:rFonts w:asciiTheme="majorHAnsi" w:hAnsiTheme="majorHAnsi" w:cstheme="majorHAnsi"/>
          <w:lang w:val="en"/>
        </w:rPr>
        <w:t xml:space="preserve">The </w:t>
      </w:r>
      <w:r>
        <w:rPr>
          <w:rFonts w:asciiTheme="majorHAnsi" w:hAnsiTheme="majorHAnsi" w:cstheme="majorHAnsi"/>
          <w:lang w:val="en"/>
        </w:rPr>
        <w:t>AVM-ES</w:t>
      </w:r>
      <w:r w:rsidRPr="00A278E3">
        <w:rPr>
          <w:rFonts w:asciiTheme="majorHAnsi" w:hAnsiTheme="majorHAnsi" w:cstheme="majorHAnsi"/>
          <w:lang w:val="en"/>
        </w:rPr>
        <w:t xml:space="preserve"> is a</w:t>
      </w:r>
      <w:r w:rsidR="00E5081B">
        <w:rPr>
          <w:rFonts w:asciiTheme="majorHAnsi" w:hAnsiTheme="majorHAnsi" w:cstheme="majorHAnsi"/>
          <w:lang w:val="en"/>
        </w:rPr>
        <w:t>n</w:t>
      </w:r>
      <w:r w:rsidRPr="00A278E3">
        <w:rPr>
          <w:rFonts w:asciiTheme="majorHAnsi" w:hAnsiTheme="majorHAnsi" w:cstheme="majorHAnsi"/>
          <w:lang w:val="en"/>
        </w:rPr>
        <w:t xml:space="preserve"> </w:t>
      </w:r>
      <w:r w:rsidR="00B54416">
        <w:rPr>
          <w:rFonts w:asciiTheme="majorHAnsi" w:hAnsiTheme="majorHAnsi" w:cstheme="majorHAnsi"/>
          <w:lang w:val="en"/>
        </w:rPr>
        <w:t>inverse</w:t>
      </w:r>
      <w:r w:rsidRPr="00A278E3">
        <w:rPr>
          <w:rFonts w:asciiTheme="majorHAnsi" w:hAnsiTheme="majorHAnsi" w:cstheme="majorHAnsi"/>
          <w:lang w:val="en"/>
        </w:rPr>
        <w:t xml:space="preserve"> measure of AVM performance where the lower the </w:t>
      </w:r>
      <w:r>
        <w:rPr>
          <w:rFonts w:asciiTheme="majorHAnsi" w:hAnsiTheme="majorHAnsi" w:cstheme="majorHAnsi"/>
          <w:lang w:val="en"/>
        </w:rPr>
        <w:t>AVM-ES value</w:t>
      </w:r>
      <w:r w:rsidRPr="00A278E3">
        <w:rPr>
          <w:rFonts w:asciiTheme="majorHAnsi" w:hAnsiTheme="majorHAnsi" w:cstheme="majorHAnsi"/>
          <w:lang w:val="en"/>
        </w:rPr>
        <w:t>, the better performing the AVM.</w:t>
      </w:r>
      <w:r>
        <w:rPr>
          <w:rFonts w:asciiTheme="majorHAnsi" w:hAnsiTheme="majorHAnsi" w:cstheme="majorHAnsi"/>
          <w:lang w:val="en"/>
        </w:rPr>
        <w:t xml:space="preserve">  </w:t>
      </w:r>
      <w:r w:rsidRPr="00A278E3">
        <w:rPr>
          <w:rFonts w:asciiTheme="majorHAnsi" w:hAnsiTheme="majorHAnsi" w:cstheme="majorHAnsi"/>
          <w:lang w:val="en"/>
        </w:rPr>
        <w:t xml:space="preserve">An AVM </w:t>
      </w:r>
      <w:r>
        <w:rPr>
          <w:rFonts w:asciiTheme="majorHAnsi" w:hAnsiTheme="majorHAnsi" w:cstheme="majorHAnsi"/>
          <w:lang w:val="en"/>
        </w:rPr>
        <w:t>that perfectly predicts all target properties would have</w:t>
      </w:r>
      <w:r w:rsidRPr="00A278E3">
        <w:rPr>
          <w:rFonts w:asciiTheme="majorHAnsi" w:hAnsiTheme="majorHAnsi" w:cstheme="majorHAnsi"/>
          <w:lang w:val="en"/>
        </w:rPr>
        <w:t xml:space="preserve"> no error</w:t>
      </w:r>
      <w:r>
        <w:rPr>
          <w:rFonts w:asciiTheme="majorHAnsi" w:hAnsiTheme="majorHAnsi" w:cstheme="majorHAnsi"/>
          <w:lang w:val="en"/>
        </w:rPr>
        <w:t>, and thus,</w:t>
      </w:r>
      <w:r w:rsidRPr="00A278E3">
        <w:rPr>
          <w:rFonts w:asciiTheme="majorHAnsi" w:hAnsiTheme="majorHAnsi" w:cstheme="majorHAnsi"/>
          <w:lang w:val="en"/>
        </w:rPr>
        <w:t xml:space="preserve"> would </w:t>
      </w:r>
      <w:r>
        <w:rPr>
          <w:rFonts w:asciiTheme="majorHAnsi" w:hAnsiTheme="majorHAnsi" w:cstheme="majorHAnsi"/>
          <w:lang w:val="en"/>
        </w:rPr>
        <w:t>have the lowest AVM-ES value,</w:t>
      </w:r>
      <w:r>
        <w:rPr>
          <w:rStyle w:val="FootnoteReference"/>
          <w:rFonts w:asciiTheme="majorHAnsi" w:hAnsiTheme="majorHAnsi" w:cstheme="majorHAnsi"/>
          <w:lang w:val="en"/>
        </w:rPr>
        <w:footnoteReference w:id="21"/>
      </w:r>
      <w:r>
        <w:rPr>
          <w:rFonts w:asciiTheme="majorHAnsi" w:hAnsiTheme="majorHAnsi" w:cstheme="majorHAnsi"/>
          <w:lang w:val="en"/>
        </w:rPr>
        <w:t xml:space="preserve"> while </w:t>
      </w:r>
      <w:r w:rsidRPr="00A278E3">
        <w:rPr>
          <w:rFonts w:asciiTheme="majorHAnsi" w:hAnsiTheme="majorHAnsi" w:cstheme="majorHAnsi"/>
          <w:lang w:val="en"/>
        </w:rPr>
        <w:t xml:space="preserve">large values of the </w:t>
      </w:r>
      <w:r>
        <w:rPr>
          <w:rFonts w:asciiTheme="majorHAnsi" w:hAnsiTheme="majorHAnsi" w:cstheme="majorHAnsi"/>
          <w:lang w:val="en"/>
        </w:rPr>
        <w:t>AVM-ES</w:t>
      </w:r>
      <w:r w:rsidRPr="00A278E3">
        <w:rPr>
          <w:rFonts w:asciiTheme="majorHAnsi" w:hAnsiTheme="majorHAnsi" w:cstheme="majorHAnsi"/>
          <w:lang w:val="en"/>
        </w:rPr>
        <w:t xml:space="preserve"> indicate a poorly performing AVM.</w:t>
      </w:r>
      <w:r>
        <w:rPr>
          <w:rFonts w:asciiTheme="majorHAnsi" w:hAnsiTheme="majorHAnsi" w:cstheme="majorHAnsi"/>
          <w:lang w:val="en"/>
        </w:rPr>
        <w:t xml:space="preserve"> A desirable feature of the AVM-ES is that its internal coefficients are</w:t>
      </w:r>
      <w:r w:rsidRPr="00D50459">
        <w:rPr>
          <w:rFonts w:asciiTheme="majorHAnsi" w:hAnsiTheme="majorHAnsi" w:cstheme="majorHAnsi"/>
        </w:rPr>
        <w:t xml:space="preserve"> derived from the dataset itself</w:t>
      </w:r>
      <w:r>
        <w:rPr>
          <w:rFonts w:asciiTheme="majorHAnsi" w:hAnsiTheme="majorHAnsi" w:cstheme="majorHAnsi"/>
        </w:rPr>
        <w:t xml:space="preserve">, rather than using pre-set weights. </w:t>
      </w:r>
      <w:r>
        <w:rPr>
          <w:rFonts w:asciiTheme="majorHAnsi" w:hAnsiTheme="majorHAnsi" w:cstheme="majorHAnsi"/>
          <w:lang w:val="en"/>
        </w:rPr>
        <w:t xml:space="preserve"> Another strength of the AVM-ES</w:t>
      </w:r>
      <w:r w:rsidRPr="00A278E3">
        <w:rPr>
          <w:rFonts w:asciiTheme="majorHAnsi" w:hAnsiTheme="majorHAnsi" w:cstheme="majorHAnsi"/>
          <w:lang w:val="en"/>
        </w:rPr>
        <w:t xml:space="preserve"> is</w:t>
      </w:r>
      <w:r>
        <w:rPr>
          <w:rFonts w:asciiTheme="majorHAnsi" w:hAnsiTheme="majorHAnsi" w:cstheme="majorHAnsi"/>
          <w:lang w:val="en"/>
        </w:rPr>
        <w:t xml:space="preserve"> that it allows one to</w:t>
      </w:r>
      <w:r w:rsidRPr="00A278E3">
        <w:rPr>
          <w:rFonts w:asciiTheme="majorHAnsi" w:hAnsiTheme="majorHAnsi" w:cstheme="majorHAnsi"/>
          <w:lang w:val="en"/>
        </w:rPr>
        <w:t xml:space="preserve"> compare</w:t>
      </w:r>
      <w:r>
        <w:rPr>
          <w:rFonts w:asciiTheme="majorHAnsi" w:hAnsiTheme="majorHAnsi" w:cstheme="majorHAnsi"/>
          <w:lang w:val="en"/>
        </w:rPr>
        <w:t>, rank</w:t>
      </w:r>
      <w:r w:rsidR="003C258E">
        <w:rPr>
          <w:rFonts w:asciiTheme="majorHAnsi" w:hAnsiTheme="majorHAnsi" w:cstheme="majorHAnsi"/>
          <w:lang w:val="en"/>
        </w:rPr>
        <w:t>,</w:t>
      </w:r>
      <w:r>
        <w:rPr>
          <w:rFonts w:asciiTheme="majorHAnsi" w:hAnsiTheme="majorHAnsi" w:cstheme="majorHAnsi"/>
          <w:lang w:val="en"/>
        </w:rPr>
        <w:t xml:space="preserve"> and grade </w:t>
      </w:r>
      <w:r w:rsidRPr="00A278E3">
        <w:rPr>
          <w:rFonts w:asciiTheme="majorHAnsi" w:hAnsiTheme="majorHAnsi" w:cstheme="majorHAnsi"/>
          <w:lang w:val="en"/>
        </w:rPr>
        <w:t>AVMs</w:t>
      </w:r>
      <w:r>
        <w:rPr>
          <w:rFonts w:asciiTheme="majorHAnsi" w:hAnsiTheme="majorHAnsi" w:cstheme="majorHAnsi"/>
          <w:lang w:val="en"/>
        </w:rPr>
        <w:t>,</w:t>
      </w:r>
      <w:r w:rsidRPr="00A278E3">
        <w:rPr>
          <w:rFonts w:asciiTheme="majorHAnsi" w:hAnsiTheme="majorHAnsi" w:cstheme="majorHAnsi"/>
          <w:lang w:val="en"/>
        </w:rPr>
        <w:t xml:space="preserve"> </w:t>
      </w:r>
      <w:r>
        <w:rPr>
          <w:rFonts w:asciiTheme="majorHAnsi" w:hAnsiTheme="majorHAnsi" w:cstheme="majorHAnsi"/>
          <w:lang w:val="en"/>
        </w:rPr>
        <w:t>at</w:t>
      </w:r>
      <w:r w:rsidRPr="00A278E3">
        <w:rPr>
          <w:rFonts w:asciiTheme="majorHAnsi" w:hAnsiTheme="majorHAnsi" w:cstheme="majorHAnsi"/>
          <w:lang w:val="en"/>
        </w:rPr>
        <w:t xml:space="preserve"> </w:t>
      </w:r>
      <w:r>
        <w:rPr>
          <w:rFonts w:asciiTheme="majorHAnsi" w:hAnsiTheme="majorHAnsi" w:cstheme="majorHAnsi"/>
          <w:lang w:val="en"/>
        </w:rPr>
        <w:t>any chosen sampling unit and geography, using any collection of AVM Performance Metrics</w:t>
      </w:r>
      <w:r w:rsidRPr="00A278E3">
        <w:rPr>
          <w:rFonts w:asciiTheme="majorHAnsi" w:hAnsiTheme="majorHAnsi" w:cstheme="majorHAnsi"/>
          <w:lang w:val="en"/>
        </w:rPr>
        <w:t xml:space="preserve">.  </w:t>
      </w:r>
    </w:p>
    <w:p w14:paraId="246E0ACE" w14:textId="03699DC9" w:rsidR="006D488E" w:rsidRDefault="006D488E" w:rsidP="008B4F6B">
      <w:pPr>
        <w:tabs>
          <w:tab w:val="num" w:pos="720"/>
        </w:tabs>
        <w:spacing w:before="240" w:line="360" w:lineRule="auto"/>
        <w:ind w:firstLine="0"/>
        <w:jc w:val="both"/>
        <w:rPr>
          <w:rFonts w:asciiTheme="majorHAnsi" w:eastAsia="Calibri" w:hAnsiTheme="majorHAnsi" w:cstheme="majorHAnsi"/>
          <w:b/>
          <w:color w:val="auto"/>
          <w:sz w:val="28"/>
          <w:szCs w:val="28"/>
          <w:lang w:eastAsia="en-US"/>
        </w:rPr>
      </w:pPr>
      <w:r>
        <w:rPr>
          <w:rFonts w:asciiTheme="majorHAnsi" w:eastAsia="Calibri" w:hAnsiTheme="majorHAnsi" w:cstheme="majorHAnsi"/>
          <w:b/>
          <w:color w:val="auto"/>
          <w:sz w:val="28"/>
          <w:szCs w:val="28"/>
          <w:lang w:eastAsia="en-US"/>
        </w:rPr>
        <w:t>3. Datasets</w:t>
      </w:r>
      <w:r w:rsidR="00067150">
        <w:rPr>
          <w:rFonts w:asciiTheme="majorHAnsi" w:eastAsia="Calibri" w:hAnsiTheme="majorHAnsi" w:cstheme="majorHAnsi"/>
          <w:b/>
          <w:color w:val="auto"/>
          <w:sz w:val="28"/>
          <w:szCs w:val="28"/>
          <w:lang w:eastAsia="en-US"/>
        </w:rPr>
        <w:t xml:space="preserve"> for Testing and Evaluating AVMs</w:t>
      </w:r>
    </w:p>
    <w:p w14:paraId="75A0C8E8" w14:textId="5C73156F" w:rsidR="00593B94" w:rsidRPr="00FD0118" w:rsidRDefault="00B54416" w:rsidP="00593B94">
      <w:pPr>
        <w:tabs>
          <w:tab w:val="num" w:pos="720"/>
        </w:tabs>
        <w:spacing w:line="360" w:lineRule="auto"/>
        <w:ind w:firstLine="0"/>
        <w:jc w:val="both"/>
        <w:rPr>
          <w:rFonts w:ascii="Times New Roman" w:eastAsia="SimSun" w:hAnsi="Times New Roman" w:cs="Times New Roman"/>
          <w:color w:val="000000"/>
          <w:lang w:val="en"/>
        </w:rPr>
      </w:pPr>
      <w:r>
        <w:rPr>
          <w:rFonts w:asciiTheme="majorHAnsi" w:hAnsiTheme="majorHAnsi" w:cstheme="majorHAnsi"/>
        </w:rPr>
        <w:t xml:space="preserve">We now return to the first </w:t>
      </w:r>
      <w:r w:rsidR="00465148">
        <w:rPr>
          <w:rFonts w:ascii="Times New Roman" w:eastAsia="SimSun" w:hAnsi="Times New Roman" w:cs="Times New Roman"/>
          <w:color w:val="000000"/>
        </w:rPr>
        <w:t>goal</w:t>
      </w:r>
      <w:r>
        <w:rPr>
          <w:rFonts w:ascii="Times New Roman" w:eastAsia="SimSun" w:hAnsi="Times New Roman" w:cs="Times New Roman"/>
          <w:color w:val="000000"/>
        </w:rPr>
        <w:t xml:space="preserve"> in</w:t>
      </w:r>
      <w:r w:rsidR="00E1280A">
        <w:rPr>
          <w:rFonts w:ascii="Times New Roman" w:eastAsia="SimSun" w:hAnsi="Times New Roman" w:cs="Times New Roman"/>
          <w:color w:val="000000"/>
        </w:rPr>
        <w:t xml:space="preserve"> th</w:t>
      </w:r>
      <w:r>
        <w:rPr>
          <w:rFonts w:ascii="Times New Roman" w:eastAsia="SimSun" w:hAnsi="Times New Roman" w:cs="Times New Roman"/>
          <w:color w:val="000000"/>
        </w:rPr>
        <w:t>is</w:t>
      </w:r>
      <w:r w:rsidR="00465148">
        <w:rPr>
          <w:rFonts w:ascii="Times New Roman" w:eastAsia="SimSun" w:hAnsi="Times New Roman" w:cs="Times New Roman"/>
          <w:color w:val="000000"/>
        </w:rPr>
        <w:t xml:space="preserve"> study</w:t>
      </w:r>
      <w:r>
        <w:rPr>
          <w:rFonts w:ascii="Times New Roman" w:eastAsia="SimSun" w:hAnsi="Times New Roman" w:cs="Times New Roman"/>
          <w:color w:val="000000"/>
        </w:rPr>
        <w:t>,</w:t>
      </w:r>
      <w:r w:rsidR="00E5081B">
        <w:rPr>
          <w:rFonts w:ascii="Times New Roman" w:eastAsia="SimSun" w:hAnsi="Times New Roman" w:cs="Times New Roman"/>
          <w:color w:val="000000"/>
        </w:rPr>
        <w:t xml:space="preserve"> to empirically test the accuracy and reliability of AVM valuations,</w:t>
      </w:r>
      <w:r>
        <w:rPr>
          <w:rFonts w:ascii="Times New Roman" w:eastAsia="SimSun" w:hAnsi="Times New Roman" w:cs="Times New Roman"/>
          <w:color w:val="000000"/>
        </w:rPr>
        <w:t xml:space="preserve"> </w:t>
      </w:r>
      <w:r w:rsidR="00515A70">
        <w:rPr>
          <w:rFonts w:ascii="Times New Roman" w:eastAsia="SimSun" w:hAnsi="Times New Roman" w:cs="Times New Roman"/>
          <w:color w:val="000000"/>
        </w:rPr>
        <w:t>through</w:t>
      </w:r>
      <w:r w:rsidR="00593B94">
        <w:rPr>
          <w:rFonts w:ascii="Times New Roman" w:eastAsia="SimSun" w:hAnsi="Times New Roman" w:cs="Times New Roman"/>
          <w:color w:val="000000"/>
        </w:rPr>
        <w:t xml:space="preserve"> an</w:t>
      </w:r>
      <w:r w:rsidR="00593B94" w:rsidRPr="0013412A">
        <w:rPr>
          <w:rFonts w:ascii="Times New Roman" w:eastAsia="SimSun" w:hAnsi="Times New Roman" w:cs="Times New Roman"/>
          <w:color w:val="000000"/>
        </w:rPr>
        <w:t xml:space="preserve"> </w:t>
      </w:r>
      <w:r w:rsidR="00593B94" w:rsidRPr="00E01437">
        <w:rPr>
          <w:rFonts w:ascii="Times New Roman" w:eastAsia="SimSun" w:hAnsi="Times New Roman" w:cs="Times New Roman"/>
          <w:b/>
          <w:bCs/>
          <w:i/>
          <w:iCs/>
          <w:color w:val="000000"/>
        </w:rPr>
        <w:t>AVM-by-FSD analysis</w:t>
      </w:r>
      <w:r>
        <w:rPr>
          <w:rFonts w:ascii="Times New Roman" w:eastAsia="SimSun" w:hAnsi="Times New Roman" w:cs="Times New Roman"/>
          <w:color w:val="000000"/>
        </w:rPr>
        <w:t xml:space="preserve">. This analysis </w:t>
      </w:r>
      <w:r w:rsidR="00E1280A">
        <w:rPr>
          <w:rFonts w:ascii="Times New Roman" w:eastAsia="SimSun" w:hAnsi="Times New Roman" w:cs="Times New Roman"/>
          <w:color w:val="000000"/>
        </w:rPr>
        <w:t>tests</w:t>
      </w:r>
      <w:r w:rsidR="00593B94" w:rsidRPr="0013412A">
        <w:rPr>
          <w:rFonts w:ascii="Times New Roman" w:eastAsia="SimSun" w:hAnsi="Times New Roman" w:cs="Times New Roman"/>
          <w:color w:val="000000"/>
        </w:rPr>
        <w:t xml:space="preserve"> the accuracy of the FSD </w:t>
      </w:r>
      <w:r w:rsidR="00E5081B" w:rsidRPr="001D7B22">
        <w:rPr>
          <w:rFonts w:ascii="Times New Roman" w:eastAsia="SimSun" w:hAnsi="Times New Roman" w:cs="Times New Roman"/>
          <w:color w:val="000000"/>
        </w:rPr>
        <w:lastRenderedPageBreak/>
        <w:t xml:space="preserve">self-generated </w:t>
      </w:r>
      <w:r w:rsidR="00593B94" w:rsidRPr="001D7B22">
        <w:rPr>
          <w:rFonts w:ascii="Times New Roman" w:eastAsia="SimSun" w:hAnsi="Times New Roman" w:cs="Times New Roman"/>
          <w:color w:val="000000"/>
        </w:rPr>
        <w:t xml:space="preserve">by each AVM vendor, </w:t>
      </w:r>
      <w:bookmarkStart w:id="7" w:name="_Hlk60228458"/>
      <w:r w:rsidR="00593B94" w:rsidRPr="001D7B22">
        <w:rPr>
          <w:rFonts w:ascii="Times New Roman" w:eastAsia="SimSun" w:hAnsi="Times New Roman" w:cs="Times New Roman"/>
          <w:color w:val="000000"/>
        </w:rPr>
        <w:t xml:space="preserve">by </w:t>
      </w:r>
      <w:r w:rsidR="00593B94" w:rsidRPr="001D7B22">
        <w:rPr>
          <w:rFonts w:ascii="Times New Roman" w:eastAsia="SimSun" w:hAnsi="Times New Roman" w:cs="Times New Roman"/>
          <w:color w:val="000000"/>
          <w:lang w:val="en"/>
        </w:rPr>
        <w:t>independently corroborating</w:t>
      </w:r>
      <w:r w:rsidR="00593B94" w:rsidRPr="001D7B22">
        <w:rPr>
          <w:rFonts w:ascii="Times New Roman" w:eastAsia="SimSun" w:hAnsi="Times New Roman" w:cs="Times New Roman"/>
          <w:color w:val="000000"/>
        </w:rPr>
        <w:t xml:space="preserve"> the vendor-reported FSD to an </w:t>
      </w:r>
      <w:r w:rsidR="00F51FA4" w:rsidRPr="001D7B22">
        <w:rPr>
          <w:rFonts w:ascii="Times New Roman" w:eastAsia="SimSun" w:hAnsi="Times New Roman" w:cs="Times New Roman"/>
          <w:color w:val="000000"/>
        </w:rPr>
        <w:t>Observed Standard Deviation</w:t>
      </w:r>
      <w:r w:rsidR="00593B94" w:rsidRPr="001D7B22">
        <w:rPr>
          <w:rFonts w:ascii="Times New Roman" w:eastAsia="SimSun" w:hAnsi="Times New Roman" w:cs="Times New Roman"/>
          <w:color w:val="000000"/>
        </w:rPr>
        <w:t xml:space="preserve"> calculated</w:t>
      </w:r>
      <w:r w:rsidR="00593B94" w:rsidRPr="0013412A">
        <w:rPr>
          <w:rFonts w:ascii="Times New Roman" w:eastAsia="SimSun" w:hAnsi="Times New Roman" w:cs="Times New Roman"/>
          <w:color w:val="000000"/>
        </w:rPr>
        <w:t xml:space="preserve"> from actual sales data</w:t>
      </w:r>
      <w:bookmarkEnd w:id="7"/>
      <w:r w:rsidR="00593B94" w:rsidRPr="0013412A">
        <w:rPr>
          <w:rFonts w:ascii="Times New Roman" w:eastAsia="SimSun" w:hAnsi="Times New Roman" w:cs="Times New Roman"/>
          <w:color w:val="000000"/>
        </w:rPr>
        <w:t xml:space="preserve">.  </w:t>
      </w:r>
      <w:r w:rsidR="00593B94" w:rsidRPr="0013412A">
        <w:rPr>
          <w:rFonts w:ascii="Times New Roman" w:eastAsia="SimSun" w:hAnsi="Times New Roman" w:cs="Times New Roman"/>
          <w:color w:val="000000"/>
          <w:lang w:val="en"/>
        </w:rPr>
        <w:t xml:space="preserve">An </w:t>
      </w:r>
      <w:r w:rsidR="00593B94" w:rsidRPr="0013412A">
        <w:rPr>
          <w:rFonts w:ascii="Times New Roman" w:eastAsia="SimSun" w:hAnsi="Times New Roman" w:cs="Times New Roman"/>
          <w:color w:val="000000"/>
        </w:rPr>
        <w:t>accurate FSD “enables a lender to develop an integrated credit and collateral policy”</w:t>
      </w:r>
      <w:r>
        <w:rPr>
          <w:rStyle w:val="FootnoteReference"/>
          <w:rFonts w:ascii="Times New Roman" w:eastAsia="SimSun" w:hAnsi="Times New Roman" w:cs="Times New Roman"/>
          <w:color w:val="000000"/>
        </w:rPr>
        <w:footnoteReference w:id="22"/>
      </w:r>
      <w:r w:rsidR="00593B94" w:rsidRPr="0013412A">
        <w:rPr>
          <w:rFonts w:ascii="Times New Roman" w:eastAsia="SimSun" w:hAnsi="Times New Roman" w:cs="Times New Roman"/>
          <w:color w:val="000000"/>
        </w:rPr>
        <w:t>. Moreover, an AVM-by-FSD analysis</w:t>
      </w:r>
      <w:r w:rsidR="00593B94" w:rsidRPr="0013412A">
        <w:rPr>
          <w:rFonts w:ascii="Times New Roman" w:eastAsia="SimSun" w:hAnsi="Times New Roman" w:cs="Times New Roman"/>
          <w:color w:val="000000"/>
          <w:lang w:val="en"/>
        </w:rPr>
        <w:t xml:space="preserve"> supports the </w:t>
      </w:r>
      <w:r w:rsidR="00593B94" w:rsidRPr="0013412A">
        <w:rPr>
          <w:rFonts w:ascii="Times New Roman" w:eastAsia="SimSun" w:hAnsi="Times New Roman" w:cs="Times New Roman"/>
          <w:color w:val="000000"/>
        </w:rPr>
        <w:t>Interagency Appraisal and Evaluation Guidelines (2010, Appendix B)</w:t>
      </w:r>
      <w:r w:rsidR="00593B94" w:rsidRPr="0013412A">
        <w:rPr>
          <w:rFonts w:ascii="Times New Roman" w:eastAsia="SimSun" w:hAnsi="Times New Roman" w:cs="Times New Roman"/>
          <w:color w:val="000000"/>
          <w:lang w:val="en"/>
        </w:rPr>
        <w:t xml:space="preserve"> by providing one element in assessing “the necessary level of due diligence on AVM vendors and their models” by identifying</w:t>
      </w:r>
      <w:r w:rsidR="00593B94" w:rsidRPr="0013412A">
        <w:rPr>
          <w:rFonts w:ascii="Times New Roman" w:eastAsia="SimSun" w:hAnsi="Times New Roman" w:cs="Times New Roman"/>
          <w:color w:val="000000"/>
        </w:rPr>
        <w:t xml:space="preserve"> the AVM vendors (via AVM/FSD combinations) that most accurately report FSDs.</w:t>
      </w:r>
      <w:r w:rsidR="00593B94" w:rsidRPr="0013412A">
        <w:rPr>
          <w:rFonts w:ascii="Times New Roman" w:eastAsia="SimSun" w:hAnsi="Times New Roman" w:cs="Times New Roman"/>
          <w:color w:val="000000"/>
          <w:lang w:val="en"/>
        </w:rPr>
        <w:t xml:space="preserve"> </w:t>
      </w:r>
    </w:p>
    <w:p w14:paraId="7B336C49" w14:textId="12C62C9E" w:rsidR="00FD0118" w:rsidRPr="00593B94" w:rsidRDefault="00593B94" w:rsidP="00593B94">
      <w:pPr>
        <w:tabs>
          <w:tab w:val="num" w:pos="720"/>
        </w:tabs>
        <w:spacing w:before="240" w:line="360" w:lineRule="auto"/>
        <w:ind w:firstLine="0"/>
        <w:jc w:val="both"/>
        <w:rPr>
          <w:rFonts w:asciiTheme="majorHAnsi" w:hAnsiTheme="majorHAnsi" w:cstheme="majorHAnsi"/>
        </w:rPr>
      </w:pPr>
      <w:r>
        <w:rPr>
          <w:rFonts w:asciiTheme="majorHAnsi" w:hAnsiTheme="majorHAnsi" w:cstheme="majorHAnsi"/>
        </w:rPr>
        <w:t xml:space="preserve">The testing dataset </w:t>
      </w:r>
      <w:r w:rsidR="004F0EE8">
        <w:rPr>
          <w:rFonts w:asciiTheme="majorHAnsi" w:hAnsiTheme="majorHAnsi" w:cstheme="majorHAnsi"/>
        </w:rPr>
        <w:t>in this</w:t>
      </w:r>
      <w:r w:rsidR="00465148">
        <w:rPr>
          <w:rFonts w:asciiTheme="majorHAnsi" w:hAnsiTheme="majorHAnsi" w:cstheme="majorHAnsi"/>
        </w:rPr>
        <w:t xml:space="preserve"> study</w:t>
      </w:r>
      <w:r w:rsidR="004F0EE8">
        <w:rPr>
          <w:rFonts w:asciiTheme="majorHAnsi" w:hAnsiTheme="majorHAnsi" w:cstheme="majorHAnsi"/>
        </w:rPr>
        <w:t xml:space="preserve"> </w:t>
      </w:r>
      <w:r>
        <w:rPr>
          <w:rFonts w:asciiTheme="majorHAnsi" w:hAnsiTheme="majorHAnsi" w:cstheme="majorHAnsi"/>
        </w:rPr>
        <w:t xml:space="preserve">consists of </w:t>
      </w:r>
      <w:r w:rsidR="00207599">
        <w:t>455,563 nationwide</w:t>
      </w:r>
      <w:r w:rsidR="00207599" w:rsidRPr="003E04C9">
        <w:t xml:space="preserve"> </w:t>
      </w:r>
      <w:r w:rsidR="00207599">
        <w:t>sales</w:t>
      </w:r>
      <w:r>
        <w:t xml:space="preserve"> (</w:t>
      </w:r>
      <w:r w:rsidRPr="00624885">
        <w:rPr>
          <w:rFonts w:ascii="Times New Roman" w:eastAsia="SimSun" w:hAnsi="Times New Roman" w:cs="Times New Roman"/>
          <w:color w:val="000000"/>
        </w:rPr>
        <w:t>associated with single-family, condominium/townhouses and PUD</w:t>
      </w:r>
      <w:r>
        <w:rPr>
          <w:rFonts w:ascii="Times New Roman" w:eastAsia="SimSun" w:hAnsi="Times New Roman" w:cs="Times New Roman"/>
          <w:color w:val="000000"/>
        </w:rPr>
        <w:t xml:space="preserve"> </w:t>
      </w:r>
      <w:r w:rsidRPr="00624885">
        <w:rPr>
          <w:rFonts w:ascii="Times New Roman" w:eastAsia="SimSun" w:hAnsi="Times New Roman" w:cs="Times New Roman"/>
          <w:color w:val="000000"/>
        </w:rPr>
        <w:t>properties</w:t>
      </w:r>
      <w:r>
        <w:rPr>
          <w:rFonts w:ascii="Times New Roman" w:eastAsia="SimSun" w:hAnsi="Times New Roman" w:cs="Times New Roman"/>
          <w:color w:val="000000"/>
        </w:rPr>
        <w:t>)</w:t>
      </w:r>
      <w:r>
        <w:t xml:space="preserve">, which </w:t>
      </w:r>
      <w:r w:rsidR="003D7D15">
        <w:rPr>
          <w:rFonts w:ascii="Times New Roman" w:eastAsia="SimSun" w:hAnsi="Times New Roman" w:cs="Times New Roman"/>
          <w:color w:val="000000"/>
        </w:rPr>
        <w:t>are</w:t>
      </w:r>
      <w:r w:rsidR="006D488E" w:rsidRPr="0013412A">
        <w:rPr>
          <w:rFonts w:ascii="Times New Roman" w:eastAsia="SimSun" w:hAnsi="Times New Roman" w:cs="Times New Roman"/>
          <w:color w:val="000000"/>
        </w:rPr>
        <w:t xml:space="preserve"> valued by as many as 15 </w:t>
      </w:r>
      <w:r w:rsidR="003D7D15">
        <w:rPr>
          <w:rFonts w:ascii="Times New Roman" w:eastAsia="SimSun" w:hAnsi="Times New Roman" w:cs="Times New Roman"/>
          <w:color w:val="000000"/>
        </w:rPr>
        <w:t xml:space="preserve">commercial </w:t>
      </w:r>
      <w:r w:rsidR="006D488E" w:rsidRPr="0013412A">
        <w:rPr>
          <w:rFonts w:ascii="Times New Roman" w:eastAsia="SimSun" w:hAnsi="Times New Roman" w:cs="Times New Roman"/>
          <w:color w:val="000000"/>
        </w:rPr>
        <w:t>AVMs</w:t>
      </w:r>
      <w:r w:rsidR="003D7D15">
        <w:rPr>
          <w:rFonts w:ascii="Times New Roman" w:eastAsia="SimSun" w:hAnsi="Times New Roman" w:cs="Times New Roman"/>
          <w:color w:val="000000"/>
        </w:rPr>
        <w:t xml:space="preserve"> </w:t>
      </w:r>
      <w:r w:rsidR="003D7D15" w:rsidRPr="0013412A">
        <w:rPr>
          <w:rFonts w:ascii="Times New Roman" w:eastAsia="SimSun" w:hAnsi="Times New Roman" w:cs="Times New Roman"/>
          <w:color w:val="000000"/>
        </w:rPr>
        <w:t xml:space="preserve">(whose identities are blinded in this </w:t>
      </w:r>
      <w:r w:rsidR="00465148">
        <w:rPr>
          <w:rFonts w:ascii="Times New Roman" w:eastAsia="SimSun" w:hAnsi="Times New Roman" w:cs="Times New Roman"/>
          <w:color w:val="000000"/>
        </w:rPr>
        <w:t xml:space="preserve">study </w:t>
      </w:r>
      <w:r w:rsidR="003D7D15" w:rsidRPr="0013412A">
        <w:rPr>
          <w:rFonts w:ascii="Times New Roman" w:eastAsia="SimSun" w:hAnsi="Times New Roman" w:cs="Times New Roman"/>
          <w:color w:val="000000"/>
        </w:rPr>
        <w:t>for confidentiality reasons)</w:t>
      </w:r>
      <w:r w:rsidR="006D488E" w:rsidRPr="0013412A">
        <w:rPr>
          <w:rFonts w:ascii="Times New Roman" w:eastAsia="SimSun" w:hAnsi="Times New Roman" w:cs="Times New Roman"/>
          <w:color w:val="000000"/>
        </w:rPr>
        <w:t xml:space="preserve"> across the United States in the third quarter (July through September) of 2018</w:t>
      </w:r>
      <w:r w:rsidR="00624885" w:rsidRPr="003A68C3">
        <w:rPr>
          <w:rFonts w:ascii="Times New Roman" w:eastAsia="SimSun" w:hAnsi="Times New Roman" w:cs="Times New Roman"/>
          <w:color w:val="000000"/>
        </w:rPr>
        <w:t xml:space="preserve">. </w:t>
      </w:r>
      <w:r w:rsidR="00FD0118" w:rsidRPr="003A68C3">
        <w:rPr>
          <w:rFonts w:cstheme="minorHAnsi"/>
        </w:rPr>
        <w:t xml:space="preserve">The median selling price for these </w:t>
      </w:r>
      <w:r w:rsidR="00FD1849" w:rsidRPr="003A68C3">
        <w:rPr>
          <w:rFonts w:ascii="Times New Roman" w:eastAsia="SimSun" w:hAnsi="Times New Roman" w:cs="Times New Roman"/>
          <w:color w:val="000000"/>
        </w:rPr>
        <w:t xml:space="preserve">455,563 </w:t>
      </w:r>
      <w:r w:rsidR="00602EB3" w:rsidRPr="003A68C3">
        <w:rPr>
          <w:rFonts w:cstheme="minorHAnsi"/>
        </w:rPr>
        <w:t>benchmark properties</w:t>
      </w:r>
      <w:r w:rsidR="00FD0118" w:rsidRPr="003A68C3">
        <w:rPr>
          <w:rFonts w:cstheme="minorHAnsi"/>
        </w:rPr>
        <w:t xml:space="preserve"> is $26</w:t>
      </w:r>
      <w:r w:rsidR="003A68C3" w:rsidRPr="003A68C3">
        <w:rPr>
          <w:rFonts w:cstheme="minorHAnsi"/>
        </w:rPr>
        <w:t>7</w:t>
      </w:r>
      <w:r w:rsidR="00FD0118" w:rsidRPr="003A68C3">
        <w:rPr>
          <w:rFonts w:cstheme="minorHAnsi"/>
        </w:rPr>
        <w:t>,</w:t>
      </w:r>
      <w:r w:rsidR="003A68C3" w:rsidRPr="003A68C3">
        <w:rPr>
          <w:rFonts w:cstheme="minorHAnsi"/>
        </w:rPr>
        <w:t>9</w:t>
      </w:r>
      <w:r w:rsidR="00FD0118" w:rsidRPr="003A68C3">
        <w:rPr>
          <w:rFonts w:cstheme="minorHAnsi"/>
        </w:rPr>
        <w:t>00 (mean = $</w:t>
      </w:r>
      <w:r w:rsidR="003A68C3" w:rsidRPr="003A68C3">
        <w:rPr>
          <w:rFonts w:cstheme="minorHAnsi"/>
        </w:rPr>
        <w:t>341,641</w:t>
      </w:r>
      <w:r w:rsidR="00FD0118" w:rsidRPr="003A68C3">
        <w:rPr>
          <w:rFonts w:cstheme="minorHAnsi"/>
        </w:rPr>
        <w:t>), while</w:t>
      </w:r>
      <w:r w:rsidR="00FD0118">
        <w:rPr>
          <w:rFonts w:cstheme="minorHAnsi"/>
        </w:rPr>
        <w:t xml:space="preserve"> the maximum was capped at $2 million. </w:t>
      </w:r>
      <w:r w:rsidR="001519CF">
        <w:rPr>
          <w:rFonts w:cstheme="minorHAnsi"/>
        </w:rPr>
        <w:t>The m</w:t>
      </w:r>
      <w:r w:rsidR="00FD0118">
        <w:rPr>
          <w:rFonts w:cstheme="minorHAnsi"/>
        </w:rPr>
        <w:t xml:space="preserve">ost </w:t>
      </w:r>
      <w:r w:rsidR="0027433F">
        <w:rPr>
          <w:rFonts w:cstheme="minorHAnsi"/>
        </w:rPr>
        <w:t>sales</w:t>
      </w:r>
      <w:r w:rsidR="00FD0118">
        <w:rPr>
          <w:rFonts w:cstheme="minorHAnsi"/>
        </w:rPr>
        <w:t xml:space="preserve"> occurred,</w:t>
      </w:r>
      <w:r w:rsidR="001519CF">
        <w:rPr>
          <w:rFonts w:cstheme="minorHAnsi"/>
        </w:rPr>
        <w:t xml:space="preserve"> as</w:t>
      </w:r>
      <w:r w:rsidR="00FD0118">
        <w:rPr>
          <w:rFonts w:cstheme="minorHAnsi"/>
        </w:rPr>
        <w:t xml:space="preserve"> seen in Exhibit 2, in California and Florida.   </w:t>
      </w:r>
    </w:p>
    <w:p w14:paraId="7ECE14AB" w14:textId="77777777" w:rsidR="00FD0118" w:rsidRPr="007F5596" w:rsidRDefault="00FD0118" w:rsidP="000F20DC">
      <w:pPr>
        <w:tabs>
          <w:tab w:val="num" w:pos="720"/>
        </w:tabs>
        <w:spacing w:before="240" w:after="240" w:line="360" w:lineRule="auto"/>
        <w:ind w:firstLine="0"/>
        <w:jc w:val="center"/>
      </w:pPr>
      <w:r>
        <w:t>Exhibit 2 About Here</w:t>
      </w:r>
    </w:p>
    <w:p w14:paraId="6B858757" w14:textId="24A38FEC" w:rsidR="00200E4F" w:rsidRPr="00790E7A" w:rsidRDefault="00B54416" w:rsidP="000F20DC">
      <w:pPr>
        <w:tabs>
          <w:tab w:val="num" w:pos="720"/>
        </w:tabs>
        <w:spacing w:before="240" w:line="360" w:lineRule="auto"/>
        <w:ind w:firstLine="0"/>
        <w:jc w:val="both"/>
        <w:rPr>
          <w:rFonts w:asciiTheme="majorHAnsi" w:hAnsiTheme="majorHAnsi" w:cstheme="majorHAnsi"/>
        </w:rPr>
      </w:pPr>
      <w:r>
        <w:rPr>
          <w:rFonts w:asciiTheme="majorHAnsi" w:hAnsiTheme="majorHAnsi" w:cstheme="majorHAnsi"/>
        </w:rPr>
        <w:t>The</w:t>
      </w:r>
      <w:r w:rsidR="00012684">
        <w:rPr>
          <w:rFonts w:asciiTheme="majorHAnsi" w:hAnsiTheme="majorHAnsi" w:cstheme="majorHAnsi"/>
        </w:rPr>
        <w:t xml:space="preserve"> second </w:t>
      </w:r>
      <w:r w:rsidR="005D3B19">
        <w:rPr>
          <w:rFonts w:asciiTheme="majorHAnsi" w:hAnsiTheme="majorHAnsi" w:cstheme="majorHAnsi"/>
        </w:rPr>
        <w:t>objective</w:t>
      </w:r>
      <w:r w:rsidR="00012684">
        <w:rPr>
          <w:rFonts w:asciiTheme="majorHAnsi" w:hAnsiTheme="majorHAnsi" w:cstheme="majorHAnsi"/>
        </w:rPr>
        <w:t xml:space="preserve"> </w:t>
      </w:r>
      <w:r w:rsidR="005D3B19">
        <w:rPr>
          <w:rFonts w:asciiTheme="majorHAnsi" w:hAnsiTheme="majorHAnsi" w:cstheme="majorHAnsi"/>
        </w:rPr>
        <w:t>of</w:t>
      </w:r>
      <w:r w:rsidR="00012684">
        <w:rPr>
          <w:rFonts w:asciiTheme="majorHAnsi" w:hAnsiTheme="majorHAnsi" w:cstheme="majorHAnsi"/>
        </w:rPr>
        <w:t xml:space="preserve"> this </w:t>
      </w:r>
      <w:r w:rsidR="00465148">
        <w:rPr>
          <w:rFonts w:asciiTheme="majorHAnsi" w:hAnsiTheme="majorHAnsi" w:cstheme="majorHAnsi"/>
        </w:rPr>
        <w:t>study</w:t>
      </w:r>
      <w:r w:rsidR="00012684">
        <w:rPr>
          <w:rFonts w:asciiTheme="majorHAnsi" w:hAnsiTheme="majorHAnsi" w:cstheme="majorHAnsi"/>
        </w:rPr>
        <w:t xml:space="preserve"> is to move beyond the FSD </w:t>
      </w:r>
      <w:r w:rsidR="00C4787E">
        <w:rPr>
          <w:rFonts w:asciiTheme="majorHAnsi" w:hAnsiTheme="majorHAnsi" w:cstheme="majorHAnsi"/>
        </w:rPr>
        <w:t>by</w:t>
      </w:r>
      <w:r w:rsidR="00012684">
        <w:rPr>
          <w:rFonts w:asciiTheme="majorHAnsi" w:hAnsiTheme="majorHAnsi" w:cstheme="majorHAnsi"/>
        </w:rPr>
        <w:t xml:space="preserve"> </w:t>
      </w:r>
      <w:r w:rsidR="00C4787E">
        <w:rPr>
          <w:rFonts w:asciiTheme="majorHAnsi" w:hAnsiTheme="majorHAnsi" w:cstheme="majorHAnsi"/>
        </w:rPr>
        <w:t>employing</w:t>
      </w:r>
      <w:r w:rsidR="00012684">
        <w:rPr>
          <w:rFonts w:asciiTheme="majorHAnsi" w:hAnsiTheme="majorHAnsi" w:cstheme="majorHAnsi"/>
        </w:rPr>
        <w:t xml:space="preserve"> multiple AVM Performance Metrics </w:t>
      </w:r>
      <w:r w:rsidR="00C4787E">
        <w:rPr>
          <w:rFonts w:asciiTheme="majorHAnsi" w:hAnsiTheme="majorHAnsi" w:cstheme="majorHAnsi"/>
        </w:rPr>
        <w:t>to</w:t>
      </w:r>
      <w:r w:rsidR="00012684">
        <w:rPr>
          <w:rFonts w:asciiTheme="majorHAnsi" w:hAnsiTheme="majorHAnsi" w:cstheme="majorHAnsi"/>
        </w:rPr>
        <w:t xml:space="preserve"> </w:t>
      </w:r>
      <w:r w:rsidR="0064381E">
        <w:rPr>
          <w:rFonts w:asciiTheme="majorHAnsi" w:hAnsiTheme="majorHAnsi" w:cstheme="majorHAnsi"/>
        </w:rPr>
        <w:t xml:space="preserve">compare, </w:t>
      </w:r>
      <w:r w:rsidR="00012684">
        <w:rPr>
          <w:rFonts w:asciiTheme="majorHAnsi" w:hAnsiTheme="majorHAnsi" w:cstheme="majorHAnsi"/>
        </w:rPr>
        <w:t>rank and grad</w:t>
      </w:r>
      <w:r w:rsidR="00C4787E">
        <w:rPr>
          <w:rFonts w:asciiTheme="majorHAnsi" w:hAnsiTheme="majorHAnsi" w:cstheme="majorHAnsi"/>
        </w:rPr>
        <w:t>e</w:t>
      </w:r>
      <w:r w:rsidR="00012684">
        <w:rPr>
          <w:rFonts w:asciiTheme="majorHAnsi" w:hAnsiTheme="majorHAnsi" w:cstheme="majorHAnsi"/>
        </w:rPr>
        <w:t xml:space="preserve"> competing AVMs</w:t>
      </w:r>
      <w:r w:rsidR="00143041">
        <w:rPr>
          <w:rFonts w:asciiTheme="majorHAnsi" w:hAnsiTheme="majorHAnsi" w:cstheme="majorHAnsi"/>
        </w:rPr>
        <w:t xml:space="preserve"> </w:t>
      </w:r>
      <w:r>
        <w:rPr>
          <w:rFonts w:asciiTheme="majorHAnsi" w:hAnsiTheme="majorHAnsi" w:cstheme="majorHAnsi"/>
        </w:rPr>
        <w:t>using</w:t>
      </w:r>
      <w:r w:rsidR="00012684">
        <w:rPr>
          <w:rFonts w:asciiTheme="majorHAnsi" w:hAnsiTheme="majorHAnsi" w:cstheme="majorHAnsi"/>
        </w:rPr>
        <w:t xml:space="preserve"> the AVM-ES. </w:t>
      </w:r>
      <w:r w:rsidR="00C4787E">
        <w:rPr>
          <w:rFonts w:asciiTheme="majorHAnsi" w:hAnsiTheme="majorHAnsi" w:cstheme="majorHAnsi"/>
        </w:rPr>
        <w:t xml:space="preserve"> </w:t>
      </w:r>
      <w:r w:rsidR="00012684">
        <w:rPr>
          <w:rFonts w:asciiTheme="majorHAnsi" w:hAnsiTheme="majorHAnsi" w:cstheme="majorHAnsi"/>
        </w:rPr>
        <w:t>E</w:t>
      </w:r>
      <w:r w:rsidR="00E1280A">
        <w:rPr>
          <w:rFonts w:asciiTheme="majorHAnsi" w:hAnsiTheme="majorHAnsi" w:cstheme="majorHAnsi"/>
        </w:rPr>
        <w:t xml:space="preserve">valuating AVM performance, </w:t>
      </w:r>
      <w:r w:rsidR="00415414">
        <w:rPr>
          <w:rFonts w:asciiTheme="majorHAnsi" w:hAnsiTheme="majorHAnsi" w:cstheme="majorHAnsi"/>
        </w:rPr>
        <w:t xml:space="preserve">via the AVM-ES, </w:t>
      </w:r>
      <w:r w:rsidR="001054F3">
        <w:rPr>
          <w:rFonts w:asciiTheme="majorHAnsi" w:hAnsiTheme="majorHAnsi" w:cstheme="majorHAnsi"/>
        </w:rPr>
        <w:t>is illustrated using</w:t>
      </w:r>
      <w:r w:rsidR="00415414">
        <w:rPr>
          <w:rFonts w:asciiTheme="majorHAnsi" w:hAnsiTheme="majorHAnsi" w:cstheme="majorHAnsi"/>
        </w:rPr>
        <w:t xml:space="preserve"> two empirical datasets</w:t>
      </w:r>
      <w:r w:rsidR="001054F3">
        <w:rPr>
          <w:rFonts w:asciiTheme="majorHAnsi" w:hAnsiTheme="majorHAnsi" w:cstheme="majorHAnsi"/>
        </w:rPr>
        <w:t xml:space="preserve">.  The first </w:t>
      </w:r>
      <w:r w:rsidR="00061FBA">
        <w:rPr>
          <w:rFonts w:asciiTheme="majorHAnsi" w:hAnsiTheme="majorHAnsi" w:cstheme="majorHAnsi"/>
        </w:rPr>
        <w:t>employs</w:t>
      </w:r>
      <w:r w:rsidR="001054F3">
        <w:rPr>
          <w:rFonts w:asciiTheme="majorHAnsi" w:hAnsiTheme="majorHAnsi" w:cstheme="majorHAnsi"/>
        </w:rPr>
        <w:t xml:space="preserve"> </w:t>
      </w:r>
      <w:r w:rsidR="00415414">
        <w:rPr>
          <w:rFonts w:asciiTheme="majorHAnsi" w:hAnsiTheme="majorHAnsi" w:cstheme="majorHAnsi"/>
        </w:rPr>
        <w:t xml:space="preserve">the original 455,563 </w:t>
      </w:r>
      <w:r w:rsidR="001054F3">
        <w:rPr>
          <w:rFonts w:asciiTheme="majorHAnsi" w:hAnsiTheme="majorHAnsi" w:cstheme="majorHAnsi"/>
        </w:rPr>
        <w:t xml:space="preserve">nationwide </w:t>
      </w:r>
      <w:r w:rsidR="00415414">
        <w:rPr>
          <w:rFonts w:asciiTheme="majorHAnsi" w:hAnsiTheme="majorHAnsi" w:cstheme="majorHAnsi"/>
        </w:rPr>
        <w:t>sales</w:t>
      </w:r>
      <w:r w:rsidR="001054F3">
        <w:rPr>
          <w:rFonts w:asciiTheme="majorHAnsi" w:hAnsiTheme="majorHAnsi" w:cstheme="majorHAnsi"/>
        </w:rPr>
        <w:t xml:space="preserve"> in an </w:t>
      </w:r>
      <w:r w:rsidR="007D2F9F" w:rsidRPr="00E01437">
        <w:rPr>
          <w:rFonts w:asciiTheme="majorHAnsi" w:hAnsiTheme="majorHAnsi" w:cstheme="majorHAnsi"/>
          <w:b/>
          <w:bCs/>
          <w:i/>
          <w:iCs/>
        </w:rPr>
        <w:t>E</w:t>
      </w:r>
      <w:r w:rsidR="001054F3" w:rsidRPr="00E01437">
        <w:rPr>
          <w:rFonts w:asciiTheme="majorHAnsi" w:hAnsiTheme="majorHAnsi" w:cstheme="majorHAnsi"/>
          <w:b/>
          <w:bCs/>
          <w:i/>
          <w:iCs/>
        </w:rPr>
        <w:t>xtended AVM-by-FSD analysis</w:t>
      </w:r>
      <w:r w:rsidR="001054F3">
        <w:rPr>
          <w:rFonts w:asciiTheme="majorHAnsi" w:hAnsiTheme="majorHAnsi" w:cstheme="majorHAnsi"/>
        </w:rPr>
        <w:t>, ex</w:t>
      </w:r>
      <w:r w:rsidR="00061FBA">
        <w:rPr>
          <w:rFonts w:asciiTheme="majorHAnsi" w:hAnsiTheme="majorHAnsi" w:cstheme="majorHAnsi"/>
        </w:rPr>
        <w:t>te</w:t>
      </w:r>
      <w:r w:rsidR="009B2B41">
        <w:rPr>
          <w:rFonts w:asciiTheme="majorHAnsi" w:hAnsiTheme="majorHAnsi" w:cstheme="majorHAnsi"/>
        </w:rPr>
        <w:t>n</w:t>
      </w:r>
      <w:r w:rsidR="001054F3">
        <w:rPr>
          <w:rFonts w:asciiTheme="majorHAnsi" w:hAnsiTheme="majorHAnsi" w:cstheme="majorHAnsi"/>
        </w:rPr>
        <w:t xml:space="preserve">ded to </w:t>
      </w:r>
      <w:r w:rsidR="009B2B41">
        <w:rPr>
          <w:rFonts w:asciiTheme="majorHAnsi" w:hAnsiTheme="majorHAnsi" w:cstheme="majorHAnsi"/>
        </w:rPr>
        <w:t xml:space="preserve">include </w:t>
      </w:r>
      <w:r w:rsidR="001054F3">
        <w:rPr>
          <w:rFonts w:asciiTheme="majorHAnsi" w:hAnsiTheme="majorHAnsi" w:cstheme="majorHAnsi"/>
        </w:rPr>
        <w:t xml:space="preserve">any set of AVM Performance Metrics </w:t>
      </w:r>
      <w:r w:rsidR="009B2B41">
        <w:rPr>
          <w:rFonts w:asciiTheme="majorHAnsi" w:hAnsiTheme="majorHAnsi" w:cstheme="majorHAnsi"/>
        </w:rPr>
        <w:t>(</w:t>
      </w:r>
      <w:r w:rsidR="001054F3">
        <w:rPr>
          <w:rFonts w:asciiTheme="majorHAnsi" w:hAnsiTheme="majorHAnsi" w:cstheme="majorHAnsi"/>
        </w:rPr>
        <w:t xml:space="preserve">beyond just </w:t>
      </w:r>
      <w:r w:rsidR="001054F3" w:rsidRPr="001F294A">
        <w:rPr>
          <w:rFonts w:asciiTheme="majorHAnsi" w:hAnsiTheme="majorHAnsi" w:cstheme="majorHAnsi"/>
        </w:rPr>
        <w:t>the</w:t>
      </w:r>
      <w:r w:rsidR="004602C7" w:rsidRPr="001F294A">
        <w:rPr>
          <w:rFonts w:asciiTheme="majorHAnsi" w:hAnsiTheme="majorHAnsi" w:cstheme="majorHAnsi"/>
        </w:rPr>
        <w:t xml:space="preserve"> </w:t>
      </w:r>
      <w:r w:rsidR="00F51FA4" w:rsidRPr="001F294A">
        <w:rPr>
          <w:rFonts w:asciiTheme="majorHAnsi" w:hAnsiTheme="majorHAnsi" w:cstheme="majorHAnsi"/>
        </w:rPr>
        <w:t>Observed Standard Deviation</w:t>
      </w:r>
      <w:r w:rsidR="009B2B41" w:rsidRPr="001F294A">
        <w:rPr>
          <w:rFonts w:asciiTheme="majorHAnsi" w:hAnsiTheme="majorHAnsi" w:cstheme="majorHAnsi"/>
        </w:rPr>
        <w:t>)</w:t>
      </w:r>
      <w:r w:rsidR="001054F3" w:rsidRPr="001F294A">
        <w:rPr>
          <w:rFonts w:asciiTheme="majorHAnsi" w:hAnsiTheme="majorHAnsi" w:cstheme="majorHAnsi"/>
        </w:rPr>
        <w:t xml:space="preserve">. </w:t>
      </w:r>
      <w:r w:rsidR="00F82C08" w:rsidRPr="001F294A">
        <w:rPr>
          <w:rFonts w:asciiTheme="majorHAnsi" w:hAnsiTheme="majorHAnsi" w:cstheme="majorHAnsi"/>
        </w:rPr>
        <w:t xml:space="preserve">The </w:t>
      </w:r>
      <w:r w:rsidR="00515A70">
        <w:rPr>
          <w:rFonts w:asciiTheme="majorHAnsi" w:hAnsiTheme="majorHAnsi" w:cstheme="majorHAnsi"/>
        </w:rPr>
        <w:t>purpose</w:t>
      </w:r>
      <w:r w:rsidR="00F82C08" w:rsidRPr="001F294A">
        <w:rPr>
          <w:rFonts w:asciiTheme="majorHAnsi" w:hAnsiTheme="majorHAnsi" w:cstheme="majorHAnsi"/>
        </w:rPr>
        <w:t xml:space="preserve"> of the </w:t>
      </w:r>
      <w:r w:rsidR="007D2F9F" w:rsidRPr="001F294A">
        <w:rPr>
          <w:rFonts w:asciiTheme="majorHAnsi" w:hAnsiTheme="majorHAnsi" w:cstheme="majorHAnsi"/>
        </w:rPr>
        <w:t>E</w:t>
      </w:r>
      <w:r w:rsidR="00F82C08" w:rsidRPr="001F294A">
        <w:rPr>
          <w:rFonts w:asciiTheme="majorHAnsi" w:hAnsiTheme="majorHAnsi" w:cstheme="majorHAnsi"/>
        </w:rPr>
        <w:t xml:space="preserve">xtended AVM-by-FSD analysis is to </w:t>
      </w:r>
      <w:r w:rsidR="0064381E" w:rsidRPr="001F294A">
        <w:rPr>
          <w:rFonts w:asciiTheme="majorHAnsi" w:hAnsiTheme="majorHAnsi" w:cstheme="majorHAnsi"/>
        </w:rPr>
        <w:t xml:space="preserve">compare, </w:t>
      </w:r>
      <w:r w:rsidR="00F82C08" w:rsidRPr="001F294A">
        <w:rPr>
          <w:rFonts w:asciiTheme="majorHAnsi" w:hAnsiTheme="majorHAnsi" w:cstheme="majorHAnsi"/>
        </w:rPr>
        <w:t>rank</w:t>
      </w:r>
      <w:r w:rsidR="00F954EC">
        <w:rPr>
          <w:rFonts w:asciiTheme="majorHAnsi" w:hAnsiTheme="majorHAnsi" w:cstheme="majorHAnsi"/>
        </w:rPr>
        <w:t>,</w:t>
      </w:r>
      <w:r w:rsidR="00F82C08" w:rsidRPr="001F294A">
        <w:rPr>
          <w:rFonts w:asciiTheme="majorHAnsi" w:hAnsiTheme="majorHAnsi" w:cstheme="majorHAnsi"/>
        </w:rPr>
        <w:t xml:space="preserve"> and grade </w:t>
      </w:r>
      <w:r w:rsidR="00563103" w:rsidRPr="001F294A">
        <w:rPr>
          <w:rFonts w:asciiTheme="majorHAnsi" w:hAnsiTheme="majorHAnsi" w:cstheme="majorHAnsi"/>
        </w:rPr>
        <w:t>the performance of the 15 AVMs across the various vendor-reported FSDs</w:t>
      </w:r>
      <w:r w:rsidR="00F82C08" w:rsidRPr="001F294A">
        <w:rPr>
          <w:rFonts w:asciiTheme="majorHAnsi" w:hAnsiTheme="majorHAnsi" w:cstheme="majorHAnsi"/>
        </w:rPr>
        <w:t>.</w:t>
      </w:r>
      <w:r w:rsidR="0064381E" w:rsidRPr="001F294A">
        <w:rPr>
          <w:rFonts w:asciiTheme="majorHAnsi" w:hAnsiTheme="majorHAnsi" w:cstheme="majorHAnsi"/>
        </w:rPr>
        <w:t xml:space="preserve"> </w:t>
      </w:r>
      <w:r w:rsidR="001054F3" w:rsidRPr="001F294A">
        <w:rPr>
          <w:rFonts w:asciiTheme="majorHAnsi" w:hAnsiTheme="majorHAnsi" w:cstheme="majorHAnsi"/>
        </w:rPr>
        <w:t>The</w:t>
      </w:r>
      <w:r w:rsidR="001054F3">
        <w:rPr>
          <w:rFonts w:asciiTheme="majorHAnsi" w:hAnsiTheme="majorHAnsi" w:cstheme="majorHAnsi"/>
        </w:rPr>
        <w:t xml:space="preserve"> seco</w:t>
      </w:r>
      <w:r w:rsidR="00415414">
        <w:rPr>
          <w:rFonts w:asciiTheme="majorHAnsi" w:hAnsiTheme="majorHAnsi" w:cstheme="majorHAnsi"/>
        </w:rPr>
        <w:t xml:space="preserve">nd </w:t>
      </w:r>
      <w:r w:rsidR="001054F3">
        <w:rPr>
          <w:rFonts w:asciiTheme="majorHAnsi" w:hAnsiTheme="majorHAnsi" w:cstheme="majorHAnsi"/>
        </w:rPr>
        <w:t xml:space="preserve">empirical example </w:t>
      </w:r>
      <w:r w:rsidR="00061FBA">
        <w:rPr>
          <w:rFonts w:asciiTheme="majorHAnsi" w:hAnsiTheme="majorHAnsi" w:cstheme="majorHAnsi"/>
        </w:rPr>
        <w:t>uses</w:t>
      </w:r>
      <w:r w:rsidR="001054F3">
        <w:rPr>
          <w:rFonts w:asciiTheme="majorHAnsi" w:hAnsiTheme="majorHAnsi" w:cstheme="majorHAnsi"/>
        </w:rPr>
        <w:t xml:space="preserve"> a </w:t>
      </w:r>
      <w:r w:rsidR="00C4787E">
        <w:rPr>
          <w:rFonts w:asciiTheme="majorHAnsi" w:hAnsiTheme="majorHAnsi" w:cstheme="majorHAnsi"/>
        </w:rPr>
        <w:t xml:space="preserve">commonly-valued </w:t>
      </w:r>
      <w:r w:rsidR="00415414">
        <w:rPr>
          <w:rFonts w:asciiTheme="majorHAnsi" w:hAnsiTheme="majorHAnsi" w:cstheme="majorHAnsi"/>
        </w:rPr>
        <w:t xml:space="preserve">subset of 1,193 </w:t>
      </w:r>
      <w:r w:rsidR="00067150">
        <w:rPr>
          <w:rFonts w:asciiTheme="majorHAnsi" w:hAnsiTheme="majorHAnsi" w:cstheme="majorHAnsi"/>
        </w:rPr>
        <w:t xml:space="preserve">benchmark </w:t>
      </w:r>
      <w:r w:rsidR="00415414">
        <w:rPr>
          <w:rFonts w:asciiTheme="majorHAnsi" w:hAnsiTheme="majorHAnsi" w:cstheme="majorHAnsi"/>
        </w:rPr>
        <w:t>properties</w:t>
      </w:r>
      <w:r w:rsidR="001054F3" w:rsidRPr="001054F3">
        <w:rPr>
          <w:rFonts w:asciiTheme="majorHAnsi" w:hAnsiTheme="majorHAnsi" w:cstheme="majorHAnsi"/>
        </w:rPr>
        <w:t xml:space="preserve"> </w:t>
      </w:r>
      <w:r w:rsidR="001054F3">
        <w:rPr>
          <w:rFonts w:asciiTheme="majorHAnsi" w:hAnsiTheme="majorHAnsi" w:cstheme="majorHAnsi"/>
        </w:rPr>
        <w:t>in Clark County, Nevada</w:t>
      </w:r>
      <w:r w:rsidR="00061FBA">
        <w:rPr>
          <w:rFonts w:asciiTheme="majorHAnsi" w:hAnsiTheme="majorHAnsi" w:cstheme="majorHAnsi"/>
        </w:rPr>
        <w:t>, which</w:t>
      </w:r>
      <w:r w:rsidR="001054F3">
        <w:rPr>
          <w:rFonts w:asciiTheme="majorHAnsi" w:hAnsiTheme="majorHAnsi" w:cstheme="majorHAnsi"/>
        </w:rPr>
        <w:t xml:space="preserve"> were culled</w:t>
      </w:r>
      <w:r w:rsidR="00415414">
        <w:rPr>
          <w:rFonts w:asciiTheme="majorHAnsi" w:hAnsiTheme="majorHAnsi" w:cstheme="majorHAnsi"/>
        </w:rPr>
        <w:t xml:space="preserve"> from the</w:t>
      </w:r>
      <w:r w:rsidR="001054F3">
        <w:rPr>
          <w:rFonts w:asciiTheme="majorHAnsi" w:hAnsiTheme="majorHAnsi" w:cstheme="majorHAnsi"/>
        </w:rPr>
        <w:t xml:space="preserve"> 455,563</w:t>
      </w:r>
      <w:r w:rsidR="00415414">
        <w:rPr>
          <w:rFonts w:asciiTheme="majorHAnsi" w:hAnsiTheme="majorHAnsi" w:cstheme="majorHAnsi"/>
        </w:rPr>
        <w:t xml:space="preserve"> nationwide sales</w:t>
      </w:r>
      <w:r w:rsidR="00F82C08">
        <w:rPr>
          <w:rFonts w:asciiTheme="majorHAnsi" w:hAnsiTheme="majorHAnsi" w:cstheme="majorHAnsi"/>
        </w:rPr>
        <w:t xml:space="preserve">. </w:t>
      </w:r>
      <w:r w:rsidR="00415414">
        <w:rPr>
          <w:rFonts w:asciiTheme="majorHAnsi" w:hAnsiTheme="majorHAnsi" w:cstheme="majorHAnsi"/>
        </w:rPr>
        <w:t xml:space="preserve"> </w:t>
      </w:r>
      <w:r w:rsidR="00061FBA">
        <w:rPr>
          <w:rFonts w:cstheme="minorHAnsi"/>
        </w:rPr>
        <w:t>Twelve</w:t>
      </w:r>
      <w:r w:rsidR="009B2B41">
        <w:rPr>
          <w:rFonts w:asciiTheme="majorHAnsi" w:hAnsiTheme="majorHAnsi" w:cstheme="majorHAnsi"/>
        </w:rPr>
        <w:t xml:space="preserve"> of the 15 AVMs were able to value all 1,193 sales. </w:t>
      </w:r>
      <w:r w:rsidR="009B2B41" w:rsidRPr="003A68C3">
        <w:rPr>
          <w:rFonts w:asciiTheme="majorHAnsi" w:hAnsiTheme="majorHAnsi" w:cstheme="majorHAnsi"/>
        </w:rPr>
        <w:t>Th</w:t>
      </w:r>
      <w:r w:rsidR="009B2B41" w:rsidRPr="003A68C3">
        <w:rPr>
          <w:rFonts w:cstheme="minorHAnsi"/>
        </w:rPr>
        <w:t xml:space="preserve">e median selling price for these </w:t>
      </w:r>
      <w:r w:rsidR="009B2B41" w:rsidRPr="003A68C3">
        <w:rPr>
          <w:rFonts w:ascii="Times New Roman" w:eastAsia="SimSun" w:hAnsi="Times New Roman" w:cs="Times New Roman"/>
          <w:color w:val="000000"/>
        </w:rPr>
        <w:t xml:space="preserve">1,193 </w:t>
      </w:r>
      <w:r w:rsidR="009B2B41" w:rsidRPr="003A68C3">
        <w:rPr>
          <w:rFonts w:cstheme="minorHAnsi"/>
        </w:rPr>
        <w:t>housing sales is $</w:t>
      </w:r>
      <w:r w:rsidR="003A68C3" w:rsidRPr="003A68C3">
        <w:rPr>
          <w:rFonts w:cstheme="minorHAnsi"/>
        </w:rPr>
        <w:t>286,999</w:t>
      </w:r>
      <w:r w:rsidR="009B2B41" w:rsidRPr="003A68C3">
        <w:rPr>
          <w:rFonts w:cstheme="minorHAnsi"/>
        </w:rPr>
        <w:t xml:space="preserve"> (mean = $</w:t>
      </w:r>
      <w:r w:rsidR="003A68C3" w:rsidRPr="003A68C3">
        <w:rPr>
          <w:rFonts w:cstheme="minorHAnsi"/>
        </w:rPr>
        <w:t>311,374</w:t>
      </w:r>
      <w:r w:rsidR="009B2B41" w:rsidRPr="003A68C3">
        <w:rPr>
          <w:rFonts w:cstheme="minorHAnsi"/>
        </w:rPr>
        <w:t>), while the</w:t>
      </w:r>
      <w:r w:rsidR="009B2B41">
        <w:rPr>
          <w:rFonts w:cstheme="minorHAnsi"/>
        </w:rPr>
        <w:t xml:space="preserve"> maximum selling price was </w:t>
      </w:r>
      <w:r w:rsidR="003A68C3">
        <w:rPr>
          <w:rFonts w:cstheme="minorHAnsi"/>
        </w:rPr>
        <w:t>$1.215 million</w:t>
      </w:r>
      <w:r w:rsidR="009B2B41">
        <w:rPr>
          <w:rFonts w:cstheme="minorHAnsi"/>
        </w:rPr>
        <w:t xml:space="preserve">. </w:t>
      </w:r>
      <w:r w:rsidR="00067150">
        <w:rPr>
          <w:rFonts w:asciiTheme="majorHAnsi" w:hAnsiTheme="majorHAnsi" w:cstheme="majorHAnsi"/>
        </w:rPr>
        <w:t xml:space="preserve">The </w:t>
      </w:r>
      <w:r w:rsidR="00A01C86">
        <w:rPr>
          <w:rFonts w:asciiTheme="majorHAnsi" w:hAnsiTheme="majorHAnsi" w:cstheme="majorHAnsi"/>
        </w:rPr>
        <w:t>purpose</w:t>
      </w:r>
      <w:r w:rsidR="00067150">
        <w:rPr>
          <w:rFonts w:asciiTheme="majorHAnsi" w:hAnsiTheme="majorHAnsi" w:cstheme="majorHAnsi"/>
        </w:rPr>
        <w:t xml:space="preserve"> of the second </w:t>
      </w:r>
      <w:r w:rsidR="00067150">
        <w:rPr>
          <w:rFonts w:asciiTheme="majorHAnsi" w:hAnsiTheme="majorHAnsi" w:cstheme="majorHAnsi"/>
        </w:rPr>
        <w:lastRenderedPageBreak/>
        <w:t>empirical analysis is to</w:t>
      </w:r>
      <w:r w:rsidR="0064381E">
        <w:rPr>
          <w:rFonts w:asciiTheme="majorHAnsi" w:hAnsiTheme="majorHAnsi" w:cstheme="majorHAnsi"/>
        </w:rPr>
        <w:t xml:space="preserve"> compare and</w:t>
      </w:r>
      <w:r w:rsidR="00067150">
        <w:rPr>
          <w:rFonts w:asciiTheme="majorHAnsi" w:hAnsiTheme="majorHAnsi" w:cstheme="majorHAnsi"/>
        </w:rPr>
        <w:t xml:space="preserve"> rank the </w:t>
      </w:r>
      <w:r w:rsidR="00C4787E">
        <w:rPr>
          <w:rFonts w:asciiTheme="majorHAnsi" w:hAnsiTheme="majorHAnsi" w:cstheme="majorHAnsi"/>
        </w:rPr>
        <w:t xml:space="preserve">performance of the </w:t>
      </w:r>
      <w:r w:rsidR="00067150">
        <w:rPr>
          <w:rFonts w:asciiTheme="majorHAnsi" w:hAnsiTheme="majorHAnsi" w:cstheme="majorHAnsi"/>
        </w:rPr>
        <w:t>12 AVMs</w:t>
      </w:r>
      <w:r w:rsidR="009B2B41">
        <w:rPr>
          <w:rFonts w:asciiTheme="majorHAnsi" w:hAnsiTheme="majorHAnsi" w:cstheme="majorHAnsi"/>
        </w:rPr>
        <w:t xml:space="preserve"> </w:t>
      </w:r>
      <w:r w:rsidR="00067150">
        <w:rPr>
          <w:rFonts w:asciiTheme="majorHAnsi" w:hAnsiTheme="majorHAnsi" w:cstheme="majorHAnsi"/>
        </w:rPr>
        <w:t>to determine the top-performing AVM in this market segment</w:t>
      </w:r>
      <w:r w:rsidR="004602C7">
        <w:rPr>
          <w:rFonts w:asciiTheme="majorHAnsi" w:hAnsiTheme="majorHAnsi" w:cstheme="majorHAnsi"/>
        </w:rPr>
        <w:t>.</w:t>
      </w:r>
    </w:p>
    <w:p w14:paraId="351F8304" w14:textId="41E63694" w:rsidR="000F20DC" w:rsidRDefault="000F20DC" w:rsidP="000F20DC">
      <w:pPr>
        <w:tabs>
          <w:tab w:val="num" w:pos="720"/>
        </w:tabs>
        <w:spacing w:before="240" w:line="360" w:lineRule="auto"/>
        <w:ind w:firstLine="0"/>
        <w:jc w:val="both"/>
        <w:rPr>
          <w:rFonts w:asciiTheme="majorHAnsi" w:eastAsia="Calibri" w:hAnsiTheme="majorHAnsi" w:cstheme="majorHAnsi"/>
          <w:b/>
          <w:color w:val="auto"/>
          <w:sz w:val="28"/>
          <w:szCs w:val="28"/>
          <w:lang w:eastAsia="en-US"/>
        </w:rPr>
      </w:pPr>
      <w:r>
        <w:rPr>
          <w:rFonts w:asciiTheme="majorHAnsi" w:eastAsia="Calibri" w:hAnsiTheme="majorHAnsi" w:cstheme="majorHAnsi"/>
          <w:b/>
          <w:color w:val="auto"/>
          <w:sz w:val="28"/>
          <w:szCs w:val="28"/>
          <w:lang w:eastAsia="en-US"/>
        </w:rPr>
        <w:t>4</w:t>
      </w:r>
      <w:r w:rsidRPr="00A278E3">
        <w:rPr>
          <w:rFonts w:asciiTheme="majorHAnsi" w:eastAsia="Calibri" w:hAnsiTheme="majorHAnsi" w:cstheme="majorHAnsi"/>
          <w:b/>
          <w:color w:val="auto"/>
          <w:sz w:val="28"/>
          <w:szCs w:val="28"/>
          <w:lang w:eastAsia="en-US"/>
        </w:rPr>
        <w:t xml:space="preserve">. </w:t>
      </w:r>
      <w:r>
        <w:rPr>
          <w:rFonts w:asciiTheme="majorHAnsi" w:eastAsia="Calibri" w:hAnsiTheme="majorHAnsi" w:cstheme="majorHAnsi"/>
          <w:b/>
          <w:color w:val="auto"/>
          <w:sz w:val="28"/>
          <w:szCs w:val="28"/>
          <w:lang w:eastAsia="en-US"/>
        </w:rPr>
        <w:t xml:space="preserve">AVM Testing – An AVM-by-FSD Analysis </w:t>
      </w:r>
    </w:p>
    <w:p w14:paraId="562AC6B3" w14:textId="34600297" w:rsidR="00E2372A" w:rsidRDefault="00FE6CC5" w:rsidP="00E2372A">
      <w:pPr>
        <w:tabs>
          <w:tab w:val="num" w:pos="720"/>
        </w:tabs>
        <w:spacing w:after="240" w:line="360" w:lineRule="auto"/>
        <w:ind w:firstLine="0"/>
        <w:jc w:val="both"/>
        <w:rPr>
          <w:rFonts w:cstheme="minorHAnsi"/>
        </w:rPr>
      </w:pPr>
      <w:r>
        <w:rPr>
          <w:rFonts w:asciiTheme="majorHAnsi" w:hAnsiTheme="majorHAnsi" w:cstheme="majorHAnsi"/>
        </w:rPr>
        <w:t>A</w:t>
      </w:r>
      <w:r w:rsidRPr="00720992">
        <w:t>n AVM-by-FSD analysis</w:t>
      </w:r>
      <w:r w:rsidR="00A01C86">
        <w:t xml:space="preserve"> </w:t>
      </w:r>
      <w:r w:rsidRPr="00720992">
        <w:t xml:space="preserve">allows </w:t>
      </w:r>
      <w:r>
        <w:t xml:space="preserve">lenders, </w:t>
      </w:r>
      <w:r w:rsidRPr="00720992">
        <w:t>federal regulators</w:t>
      </w:r>
      <w:r>
        <w:t>, and others</w:t>
      </w:r>
      <w:r w:rsidRPr="00720992">
        <w:t xml:space="preserve"> to provide oversight </w:t>
      </w:r>
      <w:r>
        <w:t>by having third parties independently test which</w:t>
      </w:r>
      <w:r w:rsidRPr="00720992">
        <w:t xml:space="preserve"> AVMs are </w:t>
      </w:r>
      <w:r>
        <w:t>most accurately reporting their FSDs</w:t>
      </w:r>
      <w:r w:rsidRPr="00720992">
        <w:t xml:space="preserve">. </w:t>
      </w:r>
      <w:r>
        <w:t xml:space="preserve"> </w:t>
      </w:r>
      <w:r>
        <w:rPr>
          <w:rFonts w:asciiTheme="majorHAnsi" w:hAnsiTheme="majorHAnsi" w:cstheme="majorHAnsi"/>
        </w:rPr>
        <w:t xml:space="preserve">One component of independent AVM testing, as performed by third-parties such as AVMetrics, is to corroborate the vendor-reported FSD’s accuracy by calculating an </w:t>
      </w:r>
      <w:r w:rsidR="00F51FA4" w:rsidRPr="001F294A">
        <w:rPr>
          <w:rFonts w:asciiTheme="majorHAnsi" w:hAnsiTheme="majorHAnsi" w:cstheme="majorHAnsi"/>
        </w:rPr>
        <w:t>Observed Standard Deviation</w:t>
      </w:r>
      <w:r>
        <w:rPr>
          <w:rFonts w:asciiTheme="majorHAnsi" w:hAnsiTheme="majorHAnsi" w:cstheme="majorHAnsi"/>
        </w:rPr>
        <w:t xml:space="preserve"> for</w:t>
      </w:r>
      <w:r>
        <w:rPr>
          <w:rFonts w:cstheme="minorHAnsi"/>
        </w:rPr>
        <w:t xml:space="preserve"> a set of benchmark properties</w:t>
      </w:r>
      <w:r w:rsidR="00067150">
        <w:rPr>
          <w:rFonts w:cstheme="minorHAnsi"/>
        </w:rPr>
        <w:t>,</w:t>
      </w:r>
      <w:r w:rsidR="00F97CC6">
        <w:rPr>
          <w:rFonts w:cstheme="minorHAnsi"/>
        </w:rPr>
        <w:t xml:space="preserve"> each</w:t>
      </w:r>
      <w:r w:rsidR="00F97CC6">
        <w:rPr>
          <w:rFonts w:asciiTheme="majorHAnsi" w:hAnsiTheme="majorHAnsi" w:cstheme="majorHAnsi"/>
          <w:bCs/>
        </w:rPr>
        <w:t xml:space="preserve"> having the same vendor-reported FSD</w:t>
      </w:r>
      <w:r>
        <w:rPr>
          <w:rFonts w:cstheme="minorHAnsi"/>
        </w:rPr>
        <w:t xml:space="preserve">. </w:t>
      </w:r>
      <w:r w:rsidR="00F97CC6">
        <w:rPr>
          <w:rFonts w:cstheme="minorHAnsi"/>
        </w:rPr>
        <w:t xml:space="preserve"> </w:t>
      </w:r>
      <w:r w:rsidR="00067150">
        <w:rPr>
          <w:rFonts w:cstheme="minorHAnsi"/>
        </w:rPr>
        <w:t xml:space="preserve">That is, the set of benchmark properties is divided, by AVM, into groups of sales having the same vendor-reported FSD. </w:t>
      </w:r>
      <w:r w:rsidR="00F97CC6">
        <w:rPr>
          <w:rFonts w:cstheme="minorHAnsi"/>
        </w:rPr>
        <w:t>Then</w:t>
      </w:r>
      <w:r w:rsidR="00F97CC6" w:rsidRPr="001F294A">
        <w:rPr>
          <w:rFonts w:cstheme="minorHAnsi"/>
        </w:rPr>
        <w:t xml:space="preserve">, the </w:t>
      </w:r>
      <w:r w:rsidR="00F51FA4" w:rsidRPr="001F294A">
        <w:rPr>
          <w:rFonts w:cstheme="minorHAnsi"/>
        </w:rPr>
        <w:t>Observed Standard Deviation</w:t>
      </w:r>
      <w:r w:rsidR="00067150">
        <w:rPr>
          <w:rFonts w:cstheme="minorHAnsi"/>
        </w:rPr>
        <w:t>, calculated for each set of benchmark properties having a common vendor-reported FSD</w:t>
      </w:r>
      <w:r w:rsidR="008F6D9D">
        <w:rPr>
          <w:rFonts w:cstheme="minorHAnsi"/>
        </w:rPr>
        <w:t>,</w:t>
      </w:r>
      <w:r w:rsidR="00C4787E">
        <w:rPr>
          <w:rFonts w:cstheme="minorHAnsi"/>
        </w:rPr>
        <w:t xml:space="preserve"> </w:t>
      </w:r>
      <w:r w:rsidR="00067150">
        <w:rPr>
          <w:rFonts w:cstheme="minorHAnsi"/>
        </w:rPr>
        <w:t xml:space="preserve">is </w:t>
      </w:r>
      <w:r w:rsidR="00F97CC6">
        <w:rPr>
          <w:rFonts w:cstheme="minorHAnsi"/>
        </w:rPr>
        <w:t>compared to th</w:t>
      </w:r>
      <w:r w:rsidR="00623014">
        <w:rPr>
          <w:rFonts w:cstheme="minorHAnsi"/>
        </w:rPr>
        <w:t>at</w:t>
      </w:r>
      <w:r w:rsidR="00F97CC6">
        <w:rPr>
          <w:rFonts w:cstheme="minorHAnsi"/>
        </w:rPr>
        <w:t xml:space="preserve"> common vendor-reported FSD.</w:t>
      </w:r>
      <w:r w:rsidR="00067150">
        <w:rPr>
          <w:rFonts w:cstheme="minorHAnsi"/>
        </w:rPr>
        <w:t xml:space="preserve">  </w:t>
      </w:r>
      <w:r w:rsidR="009E1D5F">
        <w:rPr>
          <w:rFonts w:cstheme="minorHAnsi"/>
        </w:rPr>
        <w:t xml:space="preserve">In other words, the sampling unit for an AVM-by-FSD analysis is the set of benchmark properties, valued by each AVM, having the same vendor-reported FSD. </w:t>
      </w:r>
    </w:p>
    <w:p w14:paraId="34AFF940" w14:textId="31D51D03" w:rsidR="003E78D3" w:rsidRDefault="003E78D3" w:rsidP="007F781F">
      <w:pPr>
        <w:tabs>
          <w:tab w:val="num" w:pos="720"/>
        </w:tabs>
        <w:spacing w:before="240" w:line="360" w:lineRule="auto"/>
        <w:ind w:firstLine="0"/>
        <w:jc w:val="both"/>
        <w:rPr>
          <w:rFonts w:cstheme="minorHAnsi"/>
        </w:rPr>
      </w:pPr>
      <w:r w:rsidRPr="00A028CA">
        <w:rPr>
          <w:rFonts w:cstheme="minorHAnsi"/>
        </w:rPr>
        <w:t xml:space="preserve">In an AVM-by-FSD analysis, each AVM is not required to </w:t>
      </w:r>
      <w:r>
        <w:rPr>
          <w:rFonts w:cstheme="minorHAnsi"/>
        </w:rPr>
        <w:t xml:space="preserve">return a </w:t>
      </w:r>
      <w:r w:rsidRPr="00A028CA">
        <w:rPr>
          <w:rFonts w:cstheme="minorHAnsi"/>
        </w:rPr>
        <w:t xml:space="preserve">value </w:t>
      </w:r>
      <w:r>
        <w:rPr>
          <w:rFonts w:cstheme="minorHAnsi"/>
        </w:rPr>
        <w:t>for each benchmark property.  E</w:t>
      </w:r>
      <w:r>
        <w:rPr>
          <w:rFonts w:asciiTheme="majorHAnsi" w:hAnsiTheme="majorHAnsi" w:cstheme="majorHAnsi"/>
          <w:lang w:val="en"/>
        </w:rPr>
        <w:t>valuation of AVMs with different hit rates (the percentage of sales valued by an AVM) is not uncommon in the AVM industry,</w:t>
      </w:r>
      <w:r w:rsidR="00195C94">
        <w:rPr>
          <w:rStyle w:val="FootnoteReference"/>
          <w:rFonts w:asciiTheme="majorHAnsi" w:hAnsiTheme="majorHAnsi" w:cstheme="majorHAnsi"/>
          <w:lang w:val="en"/>
        </w:rPr>
        <w:footnoteReference w:id="23"/>
      </w:r>
      <w:r>
        <w:rPr>
          <w:rFonts w:asciiTheme="majorHAnsi" w:hAnsiTheme="majorHAnsi" w:cstheme="majorHAnsi"/>
          <w:lang w:val="en"/>
        </w:rPr>
        <w:t xml:space="preserve"> because </w:t>
      </w:r>
      <w:r>
        <w:rPr>
          <w:rFonts w:asciiTheme="majorHAnsi" w:hAnsiTheme="majorHAnsi" w:cstheme="majorHAnsi"/>
        </w:rPr>
        <w:t xml:space="preserve">one would not expect an AVM with a vendor-reported FSD of 20 to outperform another AVM (from the same or from a different vendor) with a vendor-reported FSD of 5, regardless of </w:t>
      </w:r>
      <w:r w:rsidR="00E668E4">
        <w:rPr>
          <w:rFonts w:asciiTheme="majorHAnsi" w:hAnsiTheme="majorHAnsi" w:cstheme="majorHAnsi"/>
        </w:rPr>
        <w:t>whether</w:t>
      </w:r>
      <w:r>
        <w:rPr>
          <w:rFonts w:asciiTheme="majorHAnsi" w:hAnsiTheme="majorHAnsi" w:cstheme="majorHAnsi"/>
        </w:rPr>
        <w:t xml:space="preserve"> the same set of properties are valued by each AVM. </w:t>
      </w:r>
      <w:r w:rsidR="00742C86">
        <w:rPr>
          <w:rFonts w:asciiTheme="majorHAnsi" w:hAnsiTheme="majorHAnsi" w:cstheme="majorHAnsi"/>
        </w:rPr>
        <w:t xml:space="preserve"> </w:t>
      </w:r>
      <w:r w:rsidR="004602C7">
        <w:rPr>
          <w:rFonts w:asciiTheme="majorHAnsi" w:hAnsiTheme="majorHAnsi" w:cstheme="majorHAnsi"/>
        </w:rPr>
        <w:t>In addition, v</w:t>
      </w:r>
      <w:r>
        <w:rPr>
          <w:rFonts w:asciiTheme="majorHAnsi" w:hAnsiTheme="majorHAnsi" w:cstheme="majorHAnsi"/>
        </w:rPr>
        <w:t>aluable information</w:t>
      </w:r>
      <w:r w:rsidR="00742C86">
        <w:rPr>
          <w:rFonts w:asciiTheme="majorHAnsi" w:hAnsiTheme="majorHAnsi" w:cstheme="majorHAnsi"/>
        </w:rPr>
        <w:t xml:space="preserve"> </w:t>
      </w:r>
      <w:r>
        <w:rPr>
          <w:rFonts w:asciiTheme="majorHAnsi" w:hAnsiTheme="majorHAnsi" w:cstheme="majorHAnsi"/>
        </w:rPr>
        <w:t xml:space="preserve">regarding AVM performance </w:t>
      </w:r>
      <w:r w:rsidRPr="00E3442D">
        <w:rPr>
          <w:rFonts w:asciiTheme="majorHAnsi" w:hAnsiTheme="majorHAnsi" w:cstheme="majorHAnsi"/>
        </w:rPr>
        <w:t xml:space="preserve">would be </w:t>
      </w:r>
      <w:r w:rsidR="0027433F">
        <w:rPr>
          <w:rFonts w:asciiTheme="majorHAnsi" w:hAnsiTheme="majorHAnsi" w:cstheme="majorHAnsi"/>
        </w:rPr>
        <w:t>lost</w:t>
      </w:r>
      <w:r w:rsidRPr="00E3442D">
        <w:rPr>
          <w:rFonts w:asciiTheme="majorHAnsi" w:hAnsiTheme="majorHAnsi" w:cstheme="majorHAnsi"/>
        </w:rPr>
        <w:t xml:space="preserve"> if a common set of valued benchmark properties</w:t>
      </w:r>
      <w:r w:rsidR="00742C86">
        <w:rPr>
          <w:rFonts w:asciiTheme="majorHAnsi" w:hAnsiTheme="majorHAnsi" w:cstheme="majorHAnsi"/>
        </w:rPr>
        <w:t>, for each AVM,</w:t>
      </w:r>
      <w:r w:rsidRPr="00E3442D">
        <w:rPr>
          <w:rFonts w:asciiTheme="majorHAnsi" w:hAnsiTheme="majorHAnsi" w:cstheme="majorHAnsi"/>
        </w:rPr>
        <w:t xml:space="preserve"> were required</w:t>
      </w:r>
      <w:r w:rsidR="007F3DF5">
        <w:rPr>
          <w:rFonts w:asciiTheme="majorHAnsi" w:hAnsiTheme="majorHAnsi" w:cstheme="majorHAnsi"/>
        </w:rPr>
        <w:t xml:space="preserve"> to conduct an AVM-by-FSD analysis</w:t>
      </w:r>
      <w:r w:rsidRPr="00E3442D">
        <w:rPr>
          <w:rFonts w:asciiTheme="majorHAnsi" w:hAnsiTheme="majorHAnsi" w:cstheme="majorHAnsi"/>
        </w:rPr>
        <w:t>.</w:t>
      </w:r>
      <w:r>
        <w:rPr>
          <w:rStyle w:val="FootnoteReference"/>
          <w:rFonts w:cstheme="minorHAnsi"/>
        </w:rPr>
        <w:footnoteReference w:id="24"/>
      </w:r>
    </w:p>
    <w:p w14:paraId="1E180FCA" w14:textId="4905EB31" w:rsidR="00903EF0" w:rsidRPr="00E2372A" w:rsidRDefault="00903EF0" w:rsidP="00515A70">
      <w:pPr>
        <w:tabs>
          <w:tab w:val="num" w:pos="720"/>
        </w:tabs>
        <w:spacing w:after="240" w:line="360" w:lineRule="auto"/>
        <w:ind w:firstLine="0"/>
        <w:jc w:val="center"/>
      </w:pPr>
      <w:r>
        <w:t>Exhibit 3 About Here</w:t>
      </w:r>
    </w:p>
    <w:p w14:paraId="07F2B92D" w14:textId="40BF1467" w:rsidR="00E2372A" w:rsidRDefault="00903EF0" w:rsidP="00E2372A">
      <w:pPr>
        <w:tabs>
          <w:tab w:val="num" w:pos="720"/>
        </w:tabs>
        <w:spacing w:after="240" w:line="360" w:lineRule="auto"/>
        <w:ind w:firstLine="0"/>
        <w:jc w:val="both"/>
        <w:rPr>
          <w:rFonts w:cstheme="minorHAnsi"/>
        </w:rPr>
      </w:pPr>
      <w:r>
        <w:rPr>
          <w:rFonts w:cstheme="minorHAnsi"/>
        </w:rPr>
        <w:t>E</w:t>
      </w:r>
      <w:r w:rsidR="00D37075">
        <w:rPr>
          <w:rFonts w:cstheme="minorHAnsi"/>
        </w:rPr>
        <w:t xml:space="preserve">xhibit </w:t>
      </w:r>
      <w:r w:rsidR="001F294A">
        <w:rPr>
          <w:rFonts w:cstheme="minorHAnsi"/>
        </w:rPr>
        <w:t>4</w:t>
      </w:r>
      <w:r w:rsidR="00D37075">
        <w:rPr>
          <w:rFonts w:cstheme="minorHAnsi"/>
        </w:rPr>
        <w:t xml:space="preserve"> shows an AVM-by-FSD analysis for a particular AVM (Model 1), where Model 1 valued 339,346 of the 455,563 </w:t>
      </w:r>
      <w:r w:rsidR="00067150">
        <w:rPr>
          <w:rFonts w:ascii="Times New Roman" w:eastAsia="SimSun" w:hAnsi="Times New Roman" w:cs="Times New Roman"/>
          <w:color w:val="000000"/>
        </w:rPr>
        <w:t>nationwide sales</w:t>
      </w:r>
      <w:r w:rsidR="00623014">
        <w:rPr>
          <w:rFonts w:ascii="Times New Roman" w:eastAsia="SimSun" w:hAnsi="Times New Roman" w:cs="Times New Roman"/>
          <w:color w:val="000000"/>
        </w:rPr>
        <w:t xml:space="preserve"> </w:t>
      </w:r>
      <w:r w:rsidR="00C4787E">
        <w:rPr>
          <w:rFonts w:ascii="Times New Roman" w:eastAsia="SimSun" w:hAnsi="Times New Roman" w:cs="Times New Roman"/>
          <w:color w:val="000000"/>
        </w:rPr>
        <w:t xml:space="preserve">for a </w:t>
      </w:r>
      <w:r w:rsidR="00623014">
        <w:rPr>
          <w:rFonts w:ascii="Times New Roman" w:eastAsia="SimSun" w:hAnsi="Times New Roman" w:cs="Times New Roman"/>
          <w:color w:val="000000"/>
        </w:rPr>
        <w:t>75.5% hit rate</w:t>
      </w:r>
      <w:r w:rsidR="00533FFE">
        <w:rPr>
          <w:rFonts w:ascii="Times New Roman" w:eastAsia="SimSun" w:hAnsi="Times New Roman" w:cs="Times New Roman"/>
          <w:color w:val="000000"/>
        </w:rPr>
        <w:t xml:space="preserve">. </w:t>
      </w:r>
      <w:r w:rsidR="00D37075">
        <w:rPr>
          <w:rFonts w:ascii="Times New Roman" w:eastAsia="SimSun" w:hAnsi="Times New Roman" w:cs="Times New Roman"/>
          <w:color w:val="000000"/>
        </w:rPr>
        <w:t xml:space="preserve">As seen in Exhibit 3, </w:t>
      </w:r>
      <w:r w:rsidR="00533FFE">
        <w:rPr>
          <w:rFonts w:cstheme="minorHAnsi"/>
        </w:rPr>
        <w:t xml:space="preserve">Model 1 </w:t>
      </w:r>
      <w:r w:rsidR="00533FFE">
        <w:rPr>
          <w:rFonts w:cstheme="minorHAnsi"/>
        </w:rPr>
        <w:lastRenderedPageBreak/>
        <w:t xml:space="preserve">produces 19 different vendor-reported FSDs, ranging from 2 to 20 for </w:t>
      </w:r>
      <w:r w:rsidR="00D37075">
        <w:rPr>
          <w:rFonts w:cstheme="minorHAnsi"/>
        </w:rPr>
        <w:t xml:space="preserve">the </w:t>
      </w:r>
      <w:r w:rsidR="00533FFE">
        <w:rPr>
          <w:rFonts w:cstheme="minorHAnsi"/>
        </w:rPr>
        <w:t xml:space="preserve">339,346 </w:t>
      </w:r>
      <w:r w:rsidR="00067150">
        <w:rPr>
          <w:rFonts w:cstheme="minorHAnsi"/>
        </w:rPr>
        <w:t>benchmark properties</w:t>
      </w:r>
      <w:r w:rsidR="00D37075">
        <w:rPr>
          <w:rFonts w:cstheme="minorHAnsi"/>
        </w:rPr>
        <w:t xml:space="preserve"> </w:t>
      </w:r>
      <w:r w:rsidR="001B763C">
        <w:rPr>
          <w:rFonts w:cstheme="minorHAnsi"/>
        </w:rPr>
        <w:t>(</w:t>
      </w:r>
      <w:r w:rsidR="00D37075">
        <w:rPr>
          <w:rFonts w:cstheme="minorHAnsi"/>
        </w:rPr>
        <w:t>that Model 1 value</w:t>
      </w:r>
      <w:r w:rsidR="00012684">
        <w:rPr>
          <w:rFonts w:cstheme="minorHAnsi"/>
        </w:rPr>
        <w:t>d</w:t>
      </w:r>
      <w:r w:rsidR="001B763C">
        <w:rPr>
          <w:rFonts w:cstheme="minorHAnsi"/>
        </w:rPr>
        <w:t>)</w:t>
      </w:r>
      <w:r w:rsidR="00D37075">
        <w:rPr>
          <w:rFonts w:cstheme="minorHAnsi"/>
        </w:rPr>
        <w:t xml:space="preserve">. </w:t>
      </w:r>
      <w:r w:rsidR="00C4787E">
        <w:rPr>
          <w:rFonts w:cstheme="minorHAnsi"/>
        </w:rPr>
        <w:t>For example</w:t>
      </w:r>
      <w:r w:rsidR="00533FFE">
        <w:rPr>
          <w:rFonts w:cstheme="minorHAnsi"/>
        </w:rPr>
        <w:t>, 40,278 of Model 1’s valuations had a vendor-reported FSD of 6</w:t>
      </w:r>
      <w:r w:rsidR="00E2372A">
        <w:rPr>
          <w:rFonts w:cstheme="minorHAnsi"/>
        </w:rPr>
        <w:t xml:space="preserve"> (written as “Model 1, FSD 6”)</w:t>
      </w:r>
      <w:r w:rsidR="00533FFE">
        <w:rPr>
          <w:rFonts w:cstheme="minorHAnsi"/>
        </w:rPr>
        <w:t xml:space="preserve">. </w:t>
      </w:r>
      <w:r w:rsidR="002307CC">
        <w:rPr>
          <w:rFonts w:cstheme="minorHAnsi"/>
        </w:rPr>
        <w:t xml:space="preserve"> That is</w:t>
      </w:r>
      <w:r w:rsidR="00533FFE">
        <w:rPr>
          <w:rFonts w:cstheme="minorHAnsi"/>
        </w:rPr>
        <w:t>, the vendor own</w:t>
      </w:r>
      <w:r w:rsidR="001B763C">
        <w:rPr>
          <w:rFonts w:cstheme="minorHAnsi"/>
        </w:rPr>
        <w:t xml:space="preserve">ing </w:t>
      </w:r>
      <w:r w:rsidR="00533FFE">
        <w:rPr>
          <w:rFonts w:cstheme="minorHAnsi"/>
        </w:rPr>
        <w:t>Model 1 proffers that the FSD for each of these 40,278 benchmark properties is 6, despite the AVM provider not knowing their selling prices.</w:t>
      </w:r>
      <w:r w:rsidR="00533FFE">
        <w:rPr>
          <w:rStyle w:val="FootnoteReference"/>
          <w:rFonts w:cstheme="minorHAnsi"/>
        </w:rPr>
        <w:footnoteReference w:id="25"/>
      </w:r>
      <w:r w:rsidR="00533FFE">
        <w:rPr>
          <w:rFonts w:cstheme="minorHAnsi"/>
        </w:rPr>
        <w:t xml:space="preserve"> </w:t>
      </w:r>
      <w:r w:rsidR="00067150">
        <w:rPr>
          <w:rFonts w:cstheme="minorHAnsi"/>
        </w:rPr>
        <w:t xml:space="preserve"> </w:t>
      </w:r>
      <w:r w:rsidR="00E2372A">
        <w:rPr>
          <w:rFonts w:cstheme="minorHAnsi"/>
        </w:rPr>
        <w:t xml:space="preserve">Since AVMetrics knows the selling price for each of the 40,278 benchmark properties for Model 1, FSD 6, the percentage sales error for each </w:t>
      </w:r>
      <w:r w:rsidR="008B6C3B">
        <w:rPr>
          <w:rFonts w:cstheme="minorHAnsi"/>
        </w:rPr>
        <w:t>can be</w:t>
      </w:r>
      <w:r w:rsidR="00E2372A">
        <w:rPr>
          <w:rFonts w:cstheme="minorHAnsi"/>
        </w:rPr>
        <w:t xml:space="preserve"> calculated</w:t>
      </w:r>
      <w:r w:rsidR="004C07C8">
        <w:rPr>
          <w:rFonts w:cstheme="minorHAnsi"/>
        </w:rPr>
        <w:t>.</w:t>
      </w:r>
      <w:r w:rsidR="00E2372A">
        <w:rPr>
          <w:rFonts w:cstheme="minorHAnsi"/>
        </w:rPr>
        <w:t xml:space="preserve">  </w:t>
      </w:r>
      <w:r w:rsidR="001B763C" w:rsidRPr="001E1617">
        <w:rPr>
          <w:rFonts w:cstheme="minorHAnsi"/>
        </w:rPr>
        <w:t>T</w:t>
      </w:r>
      <w:r w:rsidR="00E2372A" w:rsidRPr="001E1617">
        <w:rPr>
          <w:rFonts w:cstheme="minorHAnsi"/>
        </w:rPr>
        <w:t xml:space="preserve">he </w:t>
      </w:r>
      <w:r w:rsidR="00F51FA4" w:rsidRPr="001E1617">
        <w:rPr>
          <w:rFonts w:cstheme="minorHAnsi"/>
        </w:rPr>
        <w:t>Observed Standard Deviation</w:t>
      </w:r>
      <w:r w:rsidR="00E2372A" w:rsidRPr="001E1617">
        <w:rPr>
          <w:rFonts w:cstheme="minorHAnsi"/>
        </w:rPr>
        <w:t xml:space="preserve"> for</w:t>
      </w:r>
      <w:r w:rsidR="00E2372A">
        <w:rPr>
          <w:rFonts w:cstheme="minorHAnsi"/>
        </w:rPr>
        <w:t xml:space="preserve"> these 40,278 benchmark properties for Model 1, FSD 6 is computed as the standard deviation of these 40,278 percent sales errors.</w:t>
      </w:r>
      <w:r w:rsidR="00195C94">
        <w:rPr>
          <w:rStyle w:val="FootnoteReference"/>
          <w:rFonts w:cstheme="minorHAnsi"/>
        </w:rPr>
        <w:footnoteReference w:id="26"/>
      </w:r>
      <w:r w:rsidR="00E2372A">
        <w:rPr>
          <w:rFonts w:asciiTheme="majorHAnsi" w:hAnsiTheme="majorHAnsi" w:cstheme="majorHAnsi"/>
        </w:rPr>
        <w:t xml:space="preserve">  </w:t>
      </w:r>
      <w:r w:rsidR="00E2372A" w:rsidRPr="001E1617">
        <w:rPr>
          <w:rFonts w:asciiTheme="majorHAnsi" w:hAnsiTheme="majorHAnsi" w:cstheme="majorHAnsi"/>
        </w:rPr>
        <w:t xml:space="preserve">The </w:t>
      </w:r>
      <w:r w:rsidR="00F51FA4" w:rsidRPr="001E1617">
        <w:rPr>
          <w:rFonts w:asciiTheme="majorHAnsi" w:hAnsiTheme="majorHAnsi" w:cstheme="majorHAnsi"/>
        </w:rPr>
        <w:t>Observed Standard Deviation</w:t>
      </w:r>
      <w:r w:rsidR="00E2372A" w:rsidRPr="001E1617">
        <w:rPr>
          <w:rFonts w:asciiTheme="majorHAnsi" w:hAnsiTheme="majorHAnsi" w:cstheme="majorHAnsi"/>
        </w:rPr>
        <w:t xml:space="preserve"> for Model 1, FSD 6 is </w:t>
      </w:r>
      <w:r w:rsidR="00E2372A" w:rsidRPr="001E1617">
        <w:rPr>
          <w:rFonts w:cstheme="minorHAnsi"/>
        </w:rPr>
        <w:t xml:space="preserve">7.6. </w:t>
      </w:r>
      <w:r w:rsidR="008B6C3B" w:rsidRPr="001E1617">
        <w:rPr>
          <w:rFonts w:cstheme="minorHAnsi"/>
        </w:rPr>
        <w:t xml:space="preserve"> </w:t>
      </w:r>
      <w:r w:rsidR="005B491C" w:rsidRPr="001E1617">
        <w:rPr>
          <w:rFonts w:cstheme="minorHAnsi"/>
        </w:rPr>
        <w:t>Consequentially, t</w:t>
      </w:r>
      <w:r w:rsidR="008B6C3B" w:rsidRPr="001E1617">
        <w:rPr>
          <w:rFonts w:cstheme="minorHAnsi"/>
        </w:rPr>
        <w:t>he AVM provider</w:t>
      </w:r>
      <w:r w:rsidR="008B6C3B">
        <w:rPr>
          <w:rFonts w:cstheme="minorHAnsi"/>
        </w:rPr>
        <w:t xml:space="preserve"> that owns Model 1 is underreporting its FSD for these 40,278 benchmark properties by 1.6 or 26.7 percent. </w:t>
      </w:r>
      <w:r w:rsidR="005B491C">
        <w:rPr>
          <w:rFonts w:cstheme="minorHAnsi"/>
        </w:rPr>
        <w:t xml:space="preserve"> </w:t>
      </w:r>
      <w:r w:rsidR="008B6C3B">
        <w:rPr>
          <w:rFonts w:cstheme="minorHAnsi"/>
        </w:rPr>
        <w:t>That is</w:t>
      </w:r>
      <w:r w:rsidR="00E2372A">
        <w:rPr>
          <w:rFonts w:cstheme="minorHAnsi"/>
        </w:rPr>
        <w:t xml:space="preserve">, the </w:t>
      </w:r>
      <w:r w:rsidR="008B6C3B">
        <w:rPr>
          <w:rFonts w:cstheme="minorHAnsi"/>
        </w:rPr>
        <w:t>vendor-reported FSD for</w:t>
      </w:r>
      <w:r w:rsidR="00E2372A">
        <w:rPr>
          <w:rFonts w:cstheme="minorHAnsi"/>
        </w:rPr>
        <w:t xml:space="preserve"> Model 1 is statistically significantly </w:t>
      </w:r>
      <w:r w:rsidR="008B6C3B">
        <w:rPr>
          <w:rFonts w:cstheme="minorHAnsi"/>
        </w:rPr>
        <w:t>inaccurate (p-value &lt; 0.0001</w:t>
      </w:r>
      <w:r w:rsidR="00195C94">
        <w:rPr>
          <w:rFonts w:cstheme="minorHAnsi"/>
        </w:rPr>
        <w:t>).</w:t>
      </w:r>
      <w:r w:rsidR="00195C94">
        <w:rPr>
          <w:rStyle w:val="FootnoteReference"/>
          <w:rFonts w:cstheme="minorHAnsi"/>
        </w:rPr>
        <w:footnoteReference w:id="27"/>
      </w:r>
      <w:r w:rsidR="00A01C86">
        <w:rPr>
          <w:rFonts w:cstheme="minorHAnsi"/>
        </w:rPr>
        <w:t xml:space="preserve"> </w:t>
      </w:r>
      <w:r w:rsidR="008B6C3B">
        <w:rPr>
          <w:rFonts w:cstheme="minorHAnsi"/>
        </w:rPr>
        <w:t xml:space="preserve"> </w:t>
      </w:r>
      <w:r w:rsidR="009B0864">
        <w:rPr>
          <w:rFonts w:cstheme="minorHAnsi"/>
        </w:rPr>
        <w:t xml:space="preserve">The AVM-by-FSD analysis in Exhibit 3 indicates that no vendor-reported FSD from Model 1 is </w:t>
      </w:r>
      <w:r w:rsidR="002B6A7B">
        <w:rPr>
          <w:rFonts w:cstheme="minorHAnsi"/>
        </w:rPr>
        <w:t xml:space="preserve">corroborated as </w:t>
      </w:r>
      <w:r w:rsidR="009B0864">
        <w:rPr>
          <w:rFonts w:cstheme="minorHAnsi"/>
        </w:rPr>
        <w:t>accurate</w:t>
      </w:r>
      <w:r w:rsidR="005B491C">
        <w:rPr>
          <w:rFonts w:cstheme="minorHAnsi"/>
        </w:rPr>
        <w:t>.</w:t>
      </w:r>
      <w:r w:rsidR="009B0864">
        <w:rPr>
          <w:rFonts w:cstheme="minorHAnsi"/>
        </w:rPr>
        <w:t xml:space="preserve"> </w:t>
      </w:r>
      <w:r w:rsidR="007B1401">
        <w:rPr>
          <w:rFonts w:cstheme="minorHAnsi"/>
        </w:rPr>
        <w:t xml:space="preserve">Model 1 is </w:t>
      </w:r>
      <w:r w:rsidR="00E2372A">
        <w:rPr>
          <w:rFonts w:cstheme="minorHAnsi"/>
        </w:rPr>
        <w:t>statistically significantly underreporting its FSD</w:t>
      </w:r>
      <w:r w:rsidR="00A22369">
        <w:rPr>
          <w:rFonts w:cstheme="minorHAnsi"/>
        </w:rPr>
        <w:t>, by at least 20 percent,</w:t>
      </w:r>
      <w:r w:rsidR="00E2372A">
        <w:rPr>
          <w:rFonts w:cstheme="minorHAnsi"/>
        </w:rPr>
        <w:t xml:space="preserve"> for each of its 19 </w:t>
      </w:r>
      <w:r w:rsidR="001B763C">
        <w:rPr>
          <w:rFonts w:cstheme="minorHAnsi"/>
        </w:rPr>
        <w:t xml:space="preserve">different </w:t>
      </w:r>
      <w:r w:rsidR="00E2372A">
        <w:rPr>
          <w:rFonts w:cstheme="minorHAnsi"/>
        </w:rPr>
        <w:t xml:space="preserve">vendor-reported FSDs (p-value for each &lt;  0.001). </w:t>
      </w:r>
      <w:r w:rsidR="00663325">
        <w:rPr>
          <w:rFonts w:cstheme="minorHAnsi"/>
        </w:rPr>
        <w:t xml:space="preserve"> </w:t>
      </w:r>
    </w:p>
    <w:p w14:paraId="20E81F0D" w14:textId="21EB600B" w:rsidR="00E2372A" w:rsidRPr="00E2372A" w:rsidRDefault="00E2372A" w:rsidP="00E2372A">
      <w:pPr>
        <w:tabs>
          <w:tab w:val="num" w:pos="720"/>
        </w:tabs>
        <w:spacing w:line="360" w:lineRule="auto"/>
        <w:ind w:firstLine="0"/>
        <w:jc w:val="center"/>
      </w:pPr>
      <w:r>
        <w:t xml:space="preserve">Exhibit </w:t>
      </w:r>
      <w:r w:rsidR="001F294A">
        <w:t>4</w:t>
      </w:r>
      <w:r>
        <w:t xml:space="preserve"> About Here</w:t>
      </w:r>
    </w:p>
    <w:p w14:paraId="05B6BAC2" w14:textId="0A44C750" w:rsidR="00E2372A" w:rsidRDefault="00E2372A" w:rsidP="00E2372A">
      <w:pPr>
        <w:tabs>
          <w:tab w:val="num" w:pos="720"/>
        </w:tabs>
        <w:spacing w:before="240" w:line="360" w:lineRule="auto"/>
        <w:ind w:firstLine="0"/>
        <w:jc w:val="both"/>
        <w:rPr>
          <w:rFonts w:cstheme="minorHAnsi"/>
        </w:rPr>
      </w:pPr>
      <w:r>
        <w:rPr>
          <w:rFonts w:cstheme="minorHAnsi"/>
        </w:rPr>
        <w:t xml:space="preserve">Overall, Model 1 is underreporting its vendor-reported FSDs by 57.7%, on average, and the aggregate (weighted average) </w:t>
      </w:r>
      <w:r w:rsidR="00F51FA4">
        <w:rPr>
          <w:rFonts w:cstheme="minorHAnsi"/>
        </w:rPr>
        <w:t>Observed Standard Deviation</w:t>
      </w:r>
      <w:r>
        <w:rPr>
          <w:rFonts w:cstheme="minorHAnsi"/>
        </w:rPr>
        <w:t xml:space="preserve"> for Model 1 is higher by almost 3, when compared to its corresponding vendor-reported FSD. The AVM-by-FSD analysis reveals that Model 1 </w:t>
      </w:r>
      <w:r w:rsidR="005B491C">
        <w:rPr>
          <w:rFonts w:cstheme="minorHAnsi"/>
        </w:rPr>
        <w:t>is most accurate</w:t>
      </w:r>
      <w:r>
        <w:rPr>
          <w:rStyle w:val="FootnoteReference"/>
          <w:rFonts w:cstheme="minorHAnsi"/>
        </w:rPr>
        <w:footnoteReference w:id="28"/>
      </w:r>
      <w:r>
        <w:rPr>
          <w:rFonts w:cstheme="minorHAnsi"/>
        </w:rPr>
        <w:t xml:space="preserve"> at vendor-reported FSDs of 6 and 7 (1.6 underreporting</w:t>
      </w:r>
      <w:r w:rsidR="005B491C">
        <w:rPr>
          <w:rFonts w:cstheme="minorHAnsi"/>
        </w:rPr>
        <w:t xml:space="preserve"> error</w:t>
      </w:r>
      <w:r>
        <w:rPr>
          <w:rFonts w:cstheme="minorHAnsi"/>
        </w:rPr>
        <w:t xml:space="preserve"> for each) and </w:t>
      </w:r>
      <w:r w:rsidR="005B491C">
        <w:rPr>
          <w:rFonts w:cstheme="minorHAnsi"/>
        </w:rPr>
        <w:t>least accurate</w:t>
      </w:r>
      <w:r>
        <w:rPr>
          <w:rFonts w:cstheme="minorHAnsi"/>
        </w:rPr>
        <w:t xml:space="preserve"> at vendor-reported FSDs of 2 (245.0% underreporting error) and 19 (underreporting by 8.9). </w:t>
      </w:r>
    </w:p>
    <w:p w14:paraId="0FF042EF" w14:textId="56211C2E" w:rsidR="00142125" w:rsidRDefault="003547F6" w:rsidP="00D12502">
      <w:pPr>
        <w:tabs>
          <w:tab w:val="num" w:pos="720"/>
        </w:tabs>
        <w:spacing w:before="240" w:after="240" w:line="360" w:lineRule="auto"/>
        <w:ind w:firstLine="0"/>
        <w:jc w:val="both"/>
        <w:rPr>
          <w:rFonts w:cstheme="minorHAnsi"/>
        </w:rPr>
      </w:pPr>
      <w:r>
        <w:rPr>
          <w:rFonts w:cstheme="minorHAnsi"/>
        </w:rPr>
        <w:t>In the complete AVM-by-FSD analysis, each of the 15 AVMs has a similar set of results as that seen for Model 1 in Exhibit 3. Specifically, the vendor associated with each of these 15 AVMs has</w:t>
      </w:r>
      <w:r>
        <w:rPr>
          <w:rFonts w:asciiTheme="majorHAnsi" w:hAnsiTheme="majorHAnsi" w:cstheme="majorHAnsi"/>
        </w:rPr>
        <w:t xml:space="preserve"> </w:t>
      </w:r>
      <w:r>
        <w:rPr>
          <w:rFonts w:asciiTheme="majorHAnsi" w:hAnsiTheme="majorHAnsi" w:cstheme="majorHAnsi"/>
        </w:rPr>
        <w:lastRenderedPageBreak/>
        <w:t>returned valuations with as many 25 different vendor-reported FSD values, resulting in a total of 367 AVM/FSD combinations</w:t>
      </w:r>
      <w:r w:rsidRPr="00A028CA">
        <w:rPr>
          <w:rFonts w:cstheme="minorHAnsi"/>
        </w:rPr>
        <w:t>.</w:t>
      </w:r>
      <w:r>
        <w:rPr>
          <w:rFonts w:cstheme="minorHAnsi"/>
        </w:rPr>
        <w:t xml:space="preserve"> </w:t>
      </w:r>
      <w:r w:rsidR="00E70043">
        <w:rPr>
          <w:rFonts w:cstheme="minorHAnsi"/>
        </w:rPr>
        <w:t xml:space="preserve">The </w:t>
      </w:r>
      <w:r w:rsidR="00BB271D">
        <w:rPr>
          <w:rFonts w:cstheme="minorHAnsi"/>
        </w:rPr>
        <w:t xml:space="preserve">complete </w:t>
      </w:r>
      <w:r w:rsidR="00E70043">
        <w:rPr>
          <w:rFonts w:cstheme="minorHAnsi"/>
        </w:rPr>
        <w:t>AVM-by-FSD analysis</w:t>
      </w:r>
      <w:r w:rsidR="00DA5385">
        <w:rPr>
          <w:rFonts w:cstheme="minorHAnsi"/>
        </w:rPr>
        <w:t xml:space="preserve"> independently</w:t>
      </w:r>
      <w:r w:rsidR="00E70043">
        <w:rPr>
          <w:rFonts w:cstheme="minorHAnsi"/>
        </w:rPr>
        <w:t xml:space="preserve"> tests the accuracy of the vendor-reported FSD</w:t>
      </w:r>
      <w:r w:rsidR="000B67E0">
        <w:rPr>
          <w:rFonts w:cstheme="minorHAnsi"/>
        </w:rPr>
        <w:t xml:space="preserve"> for each of the 15 AVMs across </w:t>
      </w:r>
      <w:r w:rsidR="00FA2BD5">
        <w:rPr>
          <w:rFonts w:cstheme="minorHAnsi"/>
        </w:rPr>
        <w:t xml:space="preserve">all </w:t>
      </w:r>
      <w:r w:rsidR="000B67E0">
        <w:rPr>
          <w:rFonts w:cstheme="minorHAnsi"/>
        </w:rPr>
        <w:t>367 AVM/FSD combinations</w:t>
      </w:r>
      <w:r w:rsidR="00E70043">
        <w:rPr>
          <w:rFonts w:cstheme="minorHAnsi"/>
        </w:rPr>
        <w:t>.</w:t>
      </w:r>
      <w:r w:rsidR="009538D4">
        <w:rPr>
          <w:rFonts w:cstheme="minorHAnsi"/>
        </w:rPr>
        <w:t xml:space="preserve"> </w:t>
      </w:r>
      <w:r w:rsidR="00E70043">
        <w:rPr>
          <w:rFonts w:cstheme="minorHAnsi"/>
        </w:rPr>
        <w:t xml:space="preserve"> </w:t>
      </w:r>
      <w:r w:rsidR="00681450">
        <w:rPr>
          <w:rFonts w:cstheme="minorHAnsi"/>
        </w:rPr>
        <w:t xml:space="preserve">The AVM-by-FSD analysis </w:t>
      </w:r>
      <w:r w:rsidR="00681450" w:rsidRPr="00690691">
        <w:rPr>
          <w:rFonts w:asciiTheme="majorHAnsi" w:hAnsiTheme="majorHAnsi" w:cstheme="majorHAnsi"/>
        </w:rPr>
        <w:t xml:space="preserve">reveals that the vendor-reported FSD is </w:t>
      </w:r>
      <w:r w:rsidR="00681450">
        <w:rPr>
          <w:rFonts w:asciiTheme="majorHAnsi" w:hAnsiTheme="majorHAnsi" w:cstheme="majorHAnsi"/>
        </w:rPr>
        <w:t>corroborated as accurate for only 27 (7.4</w:t>
      </w:r>
      <w:r w:rsidR="003E78D3">
        <w:rPr>
          <w:rFonts w:asciiTheme="majorHAnsi" w:hAnsiTheme="majorHAnsi" w:cstheme="majorHAnsi"/>
        </w:rPr>
        <w:t>%</w:t>
      </w:r>
      <w:r w:rsidR="00681450">
        <w:rPr>
          <w:rFonts w:asciiTheme="majorHAnsi" w:hAnsiTheme="majorHAnsi" w:cstheme="majorHAnsi"/>
        </w:rPr>
        <w:t xml:space="preserve">) of the 367 AVM/FSD combinations.  </w:t>
      </w:r>
      <w:r w:rsidR="00681450">
        <w:rPr>
          <w:rFonts w:cstheme="minorHAnsi"/>
        </w:rPr>
        <w:t>Moreover</w:t>
      </w:r>
      <w:r w:rsidR="001E0825">
        <w:rPr>
          <w:rFonts w:cstheme="minorHAnsi"/>
        </w:rPr>
        <w:t xml:space="preserve">, </w:t>
      </w:r>
      <w:r w:rsidR="009538D4">
        <w:rPr>
          <w:rFonts w:cstheme="minorHAnsi"/>
        </w:rPr>
        <w:t xml:space="preserve">AVM </w:t>
      </w:r>
      <w:r w:rsidR="00C931BB">
        <w:rPr>
          <w:rFonts w:cstheme="minorHAnsi"/>
        </w:rPr>
        <w:t>provider</w:t>
      </w:r>
      <w:r w:rsidR="009538D4">
        <w:rPr>
          <w:rFonts w:cstheme="minorHAnsi"/>
        </w:rPr>
        <w:t xml:space="preserve">s have statistically significantly (α = 0.05) underreported their FSDs for </w:t>
      </w:r>
      <w:r w:rsidR="001E0825">
        <w:rPr>
          <w:rFonts w:cstheme="minorHAnsi"/>
        </w:rPr>
        <w:t>2</w:t>
      </w:r>
      <w:r w:rsidR="005E64C4">
        <w:rPr>
          <w:rFonts w:cstheme="minorHAnsi"/>
        </w:rPr>
        <w:t>67</w:t>
      </w:r>
      <w:r w:rsidR="001E0825">
        <w:rPr>
          <w:rFonts w:cstheme="minorHAnsi"/>
        </w:rPr>
        <w:t xml:space="preserve"> of the 367 (</w:t>
      </w:r>
      <w:r w:rsidR="005E64C4">
        <w:rPr>
          <w:rFonts w:cstheme="minorHAnsi"/>
        </w:rPr>
        <w:t>72</w:t>
      </w:r>
      <w:r w:rsidR="001E0825">
        <w:rPr>
          <w:rFonts w:cstheme="minorHAnsi"/>
        </w:rPr>
        <w:t>.</w:t>
      </w:r>
      <w:r w:rsidR="005E64C4">
        <w:rPr>
          <w:rFonts w:cstheme="minorHAnsi"/>
        </w:rPr>
        <w:t>8</w:t>
      </w:r>
      <w:r w:rsidR="001E0825">
        <w:rPr>
          <w:rFonts w:cstheme="minorHAnsi"/>
        </w:rPr>
        <w:t>%) AVM/FSD combinations</w:t>
      </w:r>
      <w:r w:rsidR="00DA5385">
        <w:rPr>
          <w:rFonts w:cstheme="minorHAnsi"/>
        </w:rPr>
        <w:t>.</w:t>
      </w:r>
      <w:r w:rsidR="009538D4">
        <w:rPr>
          <w:rStyle w:val="FootnoteReference"/>
          <w:rFonts w:cstheme="minorHAnsi"/>
        </w:rPr>
        <w:footnoteReference w:id="29"/>
      </w:r>
      <w:r w:rsidR="001E0825">
        <w:rPr>
          <w:rFonts w:cstheme="minorHAnsi"/>
        </w:rPr>
        <w:t xml:space="preserve"> </w:t>
      </w:r>
      <w:r w:rsidR="00681450">
        <w:rPr>
          <w:rFonts w:cstheme="minorHAnsi"/>
        </w:rPr>
        <w:t>A</w:t>
      </w:r>
      <w:r w:rsidR="001A3125">
        <w:rPr>
          <w:rFonts w:cstheme="minorHAnsi"/>
        </w:rPr>
        <w:t xml:space="preserve">s seen in Exhibit 4, </w:t>
      </w:r>
      <w:r w:rsidR="0058677F">
        <w:rPr>
          <w:rFonts w:cstheme="minorHAnsi"/>
        </w:rPr>
        <w:t xml:space="preserve">after </w:t>
      </w:r>
      <w:r w:rsidR="001A3125">
        <w:rPr>
          <w:rFonts w:cstheme="minorHAnsi"/>
        </w:rPr>
        <w:t>a</w:t>
      </w:r>
      <w:r w:rsidR="00475061">
        <w:rPr>
          <w:rFonts w:cstheme="minorHAnsi"/>
        </w:rPr>
        <w:t xml:space="preserve">ggregating </w:t>
      </w:r>
      <w:r w:rsidR="002F10CB">
        <w:rPr>
          <w:rFonts w:cstheme="minorHAnsi"/>
        </w:rPr>
        <w:t xml:space="preserve">the results </w:t>
      </w:r>
      <w:r w:rsidR="00BF5B1F">
        <w:rPr>
          <w:rFonts w:cstheme="minorHAnsi"/>
        </w:rPr>
        <w:t xml:space="preserve">over </w:t>
      </w:r>
      <w:r w:rsidR="002F10CB">
        <w:rPr>
          <w:rFonts w:cstheme="minorHAnsi"/>
        </w:rPr>
        <w:t xml:space="preserve">the vendor-reported FSDs </w:t>
      </w:r>
      <w:r w:rsidR="00BF5B1F">
        <w:rPr>
          <w:rFonts w:cstheme="minorHAnsi"/>
        </w:rPr>
        <w:t xml:space="preserve">for each </w:t>
      </w:r>
      <w:r w:rsidR="00475061">
        <w:rPr>
          <w:rFonts w:cstheme="minorHAnsi"/>
        </w:rPr>
        <w:t xml:space="preserve">AVM, </w:t>
      </w:r>
      <w:r w:rsidR="00FF7BE4">
        <w:rPr>
          <w:rFonts w:cstheme="minorHAnsi"/>
        </w:rPr>
        <w:t>13</w:t>
      </w:r>
      <w:r w:rsidR="00475061">
        <w:rPr>
          <w:rFonts w:cstheme="minorHAnsi"/>
        </w:rPr>
        <w:t xml:space="preserve"> of the </w:t>
      </w:r>
      <w:r w:rsidR="00FF7BE4">
        <w:rPr>
          <w:rFonts w:cstheme="minorHAnsi"/>
        </w:rPr>
        <w:t>15</w:t>
      </w:r>
      <w:r w:rsidR="00475061">
        <w:rPr>
          <w:rFonts w:cstheme="minorHAnsi"/>
        </w:rPr>
        <w:t xml:space="preserve"> AVMs</w:t>
      </w:r>
      <w:r w:rsidR="00DA5385">
        <w:rPr>
          <w:rFonts w:cstheme="minorHAnsi"/>
        </w:rPr>
        <w:t xml:space="preserve"> have</w:t>
      </w:r>
      <w:r w:rsidR="00475061">
        <w:rPr>
          <w:rFonts w:cstheme="minorHAnsi"/>
        </w:rPr>
        <w:t xml:space="preserve"> underreport</w:t>
      </w:r>
      <w:r w:rsidR="00DA5385">
        <w:rPr>
          <w:rFonts w:cstheme="minorHAnsi"/>
        </w:rPr>
        <w:t>ed</w:t>
      </w:r>
      <w:r w:rsidR="00475061">
        <w:rPr>
          <w:rFonts w:cstheme="minorHAnsi"/>
        </w:rPr>
        <w:t xml:space="preserve"> their FSDs by as much as 6.7, w</w:t>
      </w:r>
      <w:r w:rsidR="00083EAE">
        <w:rPr>
          <w:rFonts w:cstheme="minorHAnsi"/>
        </w:rPr>
        <w:t>hile</w:t>
      </w:r>
      <w:r w:rsidR="00475061">
        <w:rPr>
          <w:rFonts w:cstheme="minorHAnsi"/>
        </w:rPr>
        <w:t xml:space="preserve"> the average </w:t>
      </w:r>
      <w:r w:rsidR="00DA5385">
        <w:rPr>
          <w:rFonts w:cstheme="minorHAnsi"/>
        </w:rPr>
        <w:t xml:space="preserve">FSD </w:t>
      </w:r>
      <w:r w:rsidR="00475061">
        <w:rPr>
          <w:rFonts w:cstheme="minorHAnsi"/>
        </w:rPr>
        <w:t xml:space="preserve">underreporting </w:t>
      </w:r>
      <w:r w:rsidR="00DA5385">
        <w:rPr>
          <w:rFonts w:cstheme="minorHAnsi"/>
        </w:rPr>
        <w:t>error</w:t>
      </w:r>
      <w:r w:rsidR="004C5B98">
        <w:rPr>
          <w:rFonts w:cstheme="minorHAnsi"/>
        </w:rPr>
        <w:t xml:space="preserve"> </w:t>
      </w:r>
      <w:r w:rsidR="00083EAE">
        <w:rPr>
          <w:rFonts w:cstheme="minorHAnsi"/>
        </w:rPr>
        <w:t>is</w:t>
      </w:r>
      <w:r w:rsidR="00475061">
        <w:rPr>
          <w:rFonts w:cstheme="minorHAnsi"/>
        </w:rPr>
        <w:t xml:space="preserve"> 2.2.  </w:t>
      </w:r>
    </w:p>
    <w:p w14:paraId="497FE591" w14:textId="1BCEAE73" w:rsidR="00475061" w:rsidRDefault="00475061" w:rsidP="00515A70">
      <w:pPr>
        <w:tabs>
          <w:tab w:val="num" w:pos="720"/>
        </w:tabs>
        <w:spacing w:line="360" w:lineRule="auto"/>
        <w:ind w:firstLine="0"/>
        <w:jc w:val="center"/>
      </w:pPr>
      <w:r>
        <w:t>Exhibit 4 About Here</w:t>
      </w:r>
    </w:p>
    <w:p w14:paraId="19B80299" w14:textId="40CC9911" w:rsidR="00367DB5" w:rsidRPr="00C27084" w:rsidRDefault="004C464E" w:rsidP="006B6393">
      <w:pPr>
        <w:pStyle w:val="Heading1"/>
        <w:spacing w:before="240" w:line="360" w:lineRule="auto"/>
        <w:jc w:val="left"/>
        <w:rPr>
          <w:rFonts w:cstheme="majorHAnsi"/>
          <w:sz w:val="28"/>
          <w:szCs w:val="28"/>
        </w:rPr>
      </w:pPr>
      <w:bookmarkStart w:id="8" w:name="_Hlk41372914"/>
      <w:r w:rsidRPr="00C27084">
        <w:rPr>
          <w:rFonts w:cstheme="majorHAnsi"/>
          <w:sz w:val="28"/>
          <w:szCs w:val="28"/>
        </w:rPr>
        <w:t>5</w:t>
      </w:r>
      <w:r w:rsidR="0035757C" w:rsidRPr="00C27084">
        <w:rPr>
          <w:rFonts w:cstheme="majorHAnsi"/>
          <w:sz w:val="28"/>
          <w:szCs w:val="28"/>
        </w:rPr>
        <w:t xml:space="preserve">. </w:t>
      </w:r>
      <w:r w:rsidR="00573AEE" w:rsidRPr="00C27084">
        <w:rPr>
          <w:rFonts w:cstheme="majorHAnsi"/>
          <w:sz w:val="28"/>
          <w:szCs w:val="28"/>
        </w:rPr>
        <w:t>A</w:t>
      </w:r>
      <w:r w:rsidR="00B56ACF" w:rsidRPr="00C27084">
        <w:rPr>
          <w:rFonts w:cstheme="majorHAnsi"/>
          <w:sz w:val="28"/>
          <w:szCs w:val="28"/>
        </w:rPr>
        <w:t>VM</w:t>
      </w:r>
      <w:r w:rsidR="00573AEE" w:rsidRPr="00C27084">
        <w:rPr>
          <w:rFonts w:cstheme="majorHAnsi"/>
          <w:sz w:val="28"/>
          <w:szCs w:val="28"/>
        </w:rPr>
        <w:t xml:space="preserve"> Evaluation</w:t>
      </w:r>
      <w:r w:rsidR="00B56ACF" w:rsidRPr="00C27084">
        <w:rPr>
          <w:rFonts w:cstheme="majorHAnsi"/>
          <w:sz w:val="28"/>
          <w:szCs w:val="28"/>
        </w:rPr>
        <w:t xml:space="preserve"> </w:t>
      </w:r>
      <w:bookmarkEnd w:id="8"/>
      <w:r w:rsidR="006D54F3" w:rsidRPr="00C27084">
        <w:rPr>
          <w:rFonts w:cstheme="majorHAnsi"/>
          <w:sz w:val="28"/>
          <w:szCs w:val="28"/>
        </w:rPr>
        <w:t>– Comparing, Ranking</w:t>
      </w:r>
      <w:r w:rsidR="00BA41F6">
        <w:rPr>
          <w:rFonts w:cstheme="majorHAnsi"/>
          <w:sz w:val="28"/>
          <w:szCs w:val="28"/>
        </w:rPr>
        <w:t>,</w:t>
      </w:r>
      <w:r w:rsidR="006D54F3" w:rsidRPr="00C27084">
        <w:rPr>
          <w:rFonts w:cstheme="majorHAnsi"/>
          <w:sz w:val="28"/>
          <w:szCs w:val="28"/>
        </w:rPr>
        <w:t xml:space="preserve"> and Grading</w:t>
      </w:r>
    </w:p>
    <w:p w14:paraId="1B190D9D" w14:textId="2789262B" w:rsidR="004C464E" w:rsidRPr="00573AEE" w:rsidRDefault="004C464E" w:rsidP="004C464E">
      <w:pPr>
        <w:tabs>
          <w:tab w:val="num" w:pos="720"/>
        </w:tabs>
        <w:spacing w:line="360" w:lineRule="auto"/>
        <w:ind w:firstLine="0"/>
        <w:jc w:val="both"/>
        <w:rPr>
          <w:rFonts w:asciiTheme="majorHAnsi" w:hAnsiTheme="majorHAnsi" w:cstheme="majorHAnsi"/>
        </w:rPr>
      </w:pPr>
      <w:r w:rsidRPr="00C27084">
        <w:rPr>
          <w:rFonts w:asciiTheme="majorHAnsi" w:hAnsiTheme="majorHAnsi" w:cstheme="majorHAnsi"/>
        </w:rPr>
        <w:t xml:space="preserve">The AVM-by-FSD analysis in Section 4 tests AVMs for accuracy of their vendor-reported FSDs against actual sales data. </w:t>
      </w:r>
      <w:r w:rsidR="00441DDC">
        <w:rPr>
          <w:rFonts w:asciiTheme="majorHAnsi" w:hAnsiTheme="majorHAnsi" w:cstheme="majorHAnsi"/>
        </w:rPr>
        <w:t>T</w:t>
      </w:r>
      <w:r w:rsidR="00441DDC" w:rsidRPr="00C27084">
        <w:rPr>
          <w:rFonts w:asciiTheme="majorHAnsi" w:hAnsiTheme="majorHAnsi" w:cstheme="majorHAnsi"/>
        </w:rPr>
        <w:t xml:space="preserve">he </w:t>
      </w:r>
      <w:r w:rsidR="00F51FA4">
        <w:rPr>
          <w:rFonts w:asciiTheme="majorHAnsi" w:hAnsiTheme="majorHAnsi" w:cstheme="majorHAnsi"/>
        </w:rPr>
        <w:t>Observed Standard Deviation</w:t>
      </w:r>
      <w:r w:rsidR="00441DDC" w:rsidRPr="00C27084">
        <w:rPr>
          <w:rFonts w:asciiTheme="majorHAnsi" w:hAnsiTheme="majorHAnsi" w:cstheme="majorHAnsi"/>
        </w:rPr>
        <w:t xml:space="preserve"> measures only one component (precision) of the distribution of percentage sales errors</w:t>
      </w:r>
      <w:r w:rsidR="00441DDC">
        <w:rPr>
          <w:rFonts w:asciiTheme="majorHAnsi" w:hAnsiTheme="majorHAnsi" w:cstheme="majorHAnsi"/>
        </w:rPr>
        <w:t xml:space="preserve">, while the </w:t>
      </w:r>
      <w:r w:rsidR="00441DDC" w:rsidRPr="00C27084">
        <w:rPr>
          <w:rFonts w:asciiTheme="majorHAnsi" w:hAnsiTheme="majorHAnsi" w:cstheme="majorHAnsi"/>
        </w:rPr>
        <w:t>AVM Performance Metrics</w:t>
      </w:r>
      <w:r w:rsidR="00441DDC">
        <w:rPr>
          <w:rFonts w:asciiTheme="majorHAnsi" w:hAnsiTheme="majorHAnsi" w:cstheme="majorHAnsi"/>
        </w:rPr>
        <w:t xml:space="preserve"> </w:t>
      </w:r>
      <w:r w:rsidR="00441DDC" w:rsidRPr="00C27084">
        <w:rPr>
          <w:rFonts w:asciiTheme="majorHAnsi" w:hAnsiTheme="majorHAnsi" w:cstheme="majorHAnsi"/>
        </w:rPr>
        <w:t xml:space="preserve">presented in Exhibit 1 assess accuracy, precision, or their combination (accuracy at a given level of precision). </w:t>
      </w:r>
      <w:r w:rsidR="00441DDC">
        <w:rPr>
          <w:rFonts w:asciiTheme="majorHAnsi" w:hAnsiTheme="majorHAnsi" w:cstheme="majorHAnsi"/>
        </w:rPr>
        <w:t xml:space="preserve">A second </w:t>
      </w:r>
      <w:r w:rsidR="00926103">
        <w:rPr>
          <w:rFonts w:asciiTheme="majorHAnsi" w:hAnsiTheme="majorHAnsi" w:cstheme="majorHAnsi"/>
        </w:rPr>
        <w:t>objective</w:t>
      </w:r>
      <w:r w:rsidR="00441DDC">
        <w:rPr>
          <w:rFonts w:asciiTheme="majorHAnsi" w:hAnsiTheme="majorHAnsi" w:cstheme="majorHAnsi"/>
        </w:rPr>
        <w:t xml:space="preserve"> of this </w:t>
      </w:r>
      <w:r w:rsidR="00465148">
        <w:rPr>
          <w:rFonts w:asciiTheme="majorHAnsi" w:hAnsiTheme="majorHAnsi" w:cstheme="majorHAnsi"/>
        </w:rPr>
        <w:t>study</w:t>
      </w:r>
      <w:r w:rsidR="00441DDC">
        <w:rPr>
          <w:rFonts w:asciiTheme="majorHAnsi" w:hAnsiTheme="majorHAnsi" w:cstheme="majorHAnsi"/>
        </w:rPr>
        <w:t xml:space="preserve"> is to introduce and demonstrate statistical methodology to </w:t>
      </w:r>
      <w:r w:rsidR="00441DDC" w:rsidRPr="00C27084">
        <w:rPr>
          <w:rFonts w:asciiTheme="majorHAnsi" w:hAnsiTheme="majorHAnsi" w:cstheme="majorHAnsi"/>
        </w:rPr>
        <w:t>determ</w:t>
      </w:r>
      <w:r w:rsidR="00441DDC">
        <w:rPr>
          <w:rFonts w:asciiTheme="majorHAnsi" w:hAnsiTheme="majorHAnsi" w:cstheme="majorHAnsi"/>
        </w:rPr>
        <w:t>ine</w:t>
      </w:r>
      <w:r w:rsidR="00441DDC" w:rsidRPr="00C27084">
        <w:rPr>
          <w:rFonts w:asciiTheme="majorHAnsi" w:hAnsiTheme="majorHAnsi" w:cstheme="majorHAnsi"/>
        </w:rPr>
        <w:t xml:space="preserve"> which AVM</w:t>
      </w:r>
      <w:r w:rsidR="00441DDC">
        <w:rPr>
          <w:rFonts w:asciiTheme="majorHAnsi" w:hAnsiTheme="majorHAnsi" w:cstheme="majorHAnsi"/>
        </w:rPr>
        <w:t xml:space="preserve"> </w:t>
      </w:r>
      <w:r w:rsidR="00441DDC" w:rsidRPr="00C27084">
        <w:rPr>
          <w:rFonts w:asciiTheme="majorHAnsi" w:hAnsiTheme="majorHAnsi" w:cstheme="majorHAnsi"/>
        </w:rPr>
        <w:t>performs best</w:t>
      </w:r>
      <w:r w:rsidR="00441DDC">
        <w:rPr>
          <w:rFonts w:asciiTheme="majorHAnsi" w:hAnsiTheme="majorHAnsi" w:cstheme="majorHAnsi"/>
        </w:rPr>
        <w:t xml:space="preserve">, </w:t>
      </w:r>
      <w:r w:rsidR="00441DDC" w:rsidRPr="00C27084">
        <w:rPr>
          <w:rFonts w:asciiTheme="majorHAnsi" w:hAnsiTheme="majorHAnsi" w:cstheme="majorHAnsi"/>
        </w:rPr>
        <w:t xml:space="preserve">by comparing and ranking AVMs using </w:t>
      </w:r>
      <w:r w:rsidR="00441DDC">
        <w:rPr>
          <w:rFonts w:asciiTheme="majorHAnsi" w:hAnsiTheme="majorHAnsi" w:cstheme="majorHAnsi"/>
        </w:rPr>
        <w:t xml:space="preserve">any set of </w:t>
      </w:r>
      <w:r w:rsidR="00441DDC" w:rsidRPr="00C27084">
        <w:rPr>
          <w:rFonts w:asciiTheme="majorHAnsi" w:hAnsiTheme="majorHAnsi" w:cstheme="majorHAnsi"/>
        </w:rPr>
        <w:t>AVM Performance Metrics detailed in Exhibit 1</w:t>
      </w:r>
      <w:r w:rsidR="00961916">
        <w:rPr>
          <w:rFonts w:asciiTheme="majorHAnsi" w:hAnsiTheme="majorHAnsi" w:cstheme="majorHAnsi"/>
        </w:rPr>
        <w:t xml:space="preserve"> (more than just an FSD)</w:t>
      </w:r>
      <w:r w:rsidR="00926103">
        <w:rPr>
          <w:rFonts w:asciiTheme="majorHAnsi" w:hAnsiTheme="majorHAnsi" w:cstheme="majorHAnsi"/>
        </w:rPr>
        <w:t>.</w:t>
      </w:r>
      <w:r w:rsidR="00441DDC">
        <w:rPr>
          <w:rFonts w:asciiTheme="majorHAnsi" w:hAnsiTheme="majorHAnsi" w:cstheme="majorHAnsi"/>
        </w:rPr>
        <w:t xml:space="preserve"> </w:t>
      </w:r>
    </w:p>
    <w:p w14:paraId="5BA0556C" w14:textId="1ADF8A4C" w:rsidR="000E2F23" w:rsidRPr="000E2F23" w:rsidRDefault="000E2F23" w:rsidP="004C464E">
      <w:pPr>
        <w:tabs>
          <w:tab w:val="num" w:pos="720"/>
        </w:tabs>
        <w:spacing w:before="240" w:line="360" w:lineRule="auto"/>
        <w:ind w:firstLine="0"/>
        <w:jc w:val="both"/>
        <w:rPr>
          <w:rFonts w:asciiTheme="majorHAnsi" w:hAnsiTheme="majorHAnsi" w:cstheme="majorHAnsi"/>
          <w:b/>
          <w:bCs/>
        </w:rPr>
      </w:pPr>
      <w:r>
        <w:rPr>
          <w:rFonts w:cstheme="majorHAnsi"/>
          <w:sz w:val="28"/>
          <w:szCs w:val="28"/>
        </w:rPr>
        <w:tab/>
      </w:r>
      <w:r w:rsidR="004C464E">
        <w:rPr>
          <w:rFonts w:cstheme="majorHAnsi"/>
          <w:b/>
          <w:bCs/>
          <w:sz w:val="28"/>
          <w:szCs w:val="28"/>
        </w:rPr>
        <w:t>5</w:t>
      </w:r>
      <w:r w:rsidRPr="000E2F23">
        <w:rPr>
          <w:rFonts w:cstheme="majorHAnsi"/>
          <w:b/>
          <w:bCs/>
          <w:sz w:val="28"/>
          <w:szCs w:val="28"/>
        </w:rPr>
        <w:t>a. AVM Ranking</w:t>
      </w:r>
    </w:p>
    <w:p w14:paraId="41924811" w14:textId="544612C3" w:rsidR="00200E4F" w:rsidRPr="00A0724C" w:rsidRDefault="004C464E" w:rsidP="00A0724C">
      <w:pPr>
        <w:tabs>
          <w:tab w:val="num" w:pos="720"/>
        </w:tabs>
        <w:spacing w:after="240" w:line="360" w:lineRule="auto"/>
        <w:ind w:firstLine="0"/>
        <w:jc w:val="both"/>
        <w:rPr>
          <w:rFonts w:ascii="Times New Roman" w:eastAsia="SimSun" w:hAnsi="Times New Roman" w:cs="Times New Roman"/>
          <w:color w:val="000000"/>
        </w:rPr>
      </w:pPr>
      <w:r>
        <w:rPr>
          <w:rFonts w:asciiTheme="majorHAnsi" w:hAnsiTheme="majorHAnsi" w:cstheme="majorHAnsi"/>
        </w:rPr>
        <w:t xml:space="preserve">The first </w:t>
      </w:r>
      <w:r w:rsidR="00E01437">
        <w:rPr>
          <w:rFonts w:asciiTheme="majorHAnsi" w:hAnsiTheme="majorHAnsi" w:cstheme="majorHAnsi"/>
        </w:rPr>
        <w:t xml:space="preserve">empirical </w:t>
      </w:r>
      <w:r>
        <w:rPr>
          <w:rFonts w:asciiTheme="majorHAnsi" w:hAnsiTheme="majorHAnsi" w:cstheme="majorHAnsi"/>
        </w:rPr>
        <w:t>analysis in this section employs the AVM-ES, a composite index of AVM Performance Metrics, to compare, rank</w:t>
      </w:r>
      <w:r w:rsidR="00F71795">
        <w:rPr>
          <w:rFonts w:asciiTheme="majorHAnsi" w:hAnsiTheme="majorHAnsi" w:cstheme="majorHAnsi"/>
        </w:rPr>
        <w:t>,</w:t>
      </w:r>
      <w:r>
        <w:rPr>
          <w:rFonts w:asciiTheme="majorHAnsi" w:hAnsiTheme="majorHAnsi" w:cstheme="majorHAnsi"/>
        </w:rPr>
        <w:t xml:space="preserve"> and grade the performance of the 15 AVMs (over the</w:t>
      </w:r>
      <w:r w:rsidR="00041853">
        <w:rPr>
          <w:rFonts w:asciiTheme="majorHAnsi" w:hAnsiTheme="majorHAnsi" w:cstheme="majorHAnsi"/>
        </w:rPr>
        <w:t xml:space="preserve"> </w:t>
      </w:r>
      <w:r>
        <w:rPr>
          <w:rFonts w:asciiTheme="majorHAnsi" w:hAnsiTheme="majorHAnsi" w:cstheme="majorHAnsi"/>
        </w:rPr>
        <w:t>367 AVM/FSD combinations)</w:t>
      </w:r>
      <w:r w:rsidR="00085450">
        <w:rPr>
          <w:rFonts w:asciiTheme="majorHAnsi" w:hAnsiTheme="majorHAnsi" w:cstheme="majorHAnsi"/>
        </w:rPr>
        <w:t xml:space="preserve"> in an </w:t>
      </w:r>
      <w:r w:rsidR="00A0724C" w:rsidRPr="00E01437">
        <w:rPr>
          <w:rFonts w:asciiTheme="majorHAnsi" w:hAnsiTheme="majorHAnsi" w:cstheme="majorHAnsi"/>
          <w:b/>
          <w:bCs/>
          <w:i/>
          <w:iCs/>
        </w:rPr>
        <w:t>E</w:t>
      </w:r>
      <w:r w:rsidR="00085450" w:rsidRPr="00E01437">
        <w:rPr>
          <w:rFonts w:asciiTheme="majorHAnsi" w:hAnsiTheme="majorHAnsi" w:cstheme="majorHAnsi"/>
          <w:b/>
          <w:bCs/>
          <w:i/>
          <w:iCs/>
        </w:rPr>
        <w:t>xpanded AVM-by-FSD analysis</w:t>
      </w:r>
      <w:r>
        <w:rPr>
          <w:rFonts w:asciiTheme="majorHAnsi" w:hAnsiTheme="majorHAnsi" w:cstheme="majorHAnsi"/>
          <w:lang w:val="en"/>
        </w:rPr>
        <w:t xml:space="preserve">. </w:t>
      </w:r>
      <w:r w:rsidR="00A40AF9">
        <w:rPr>
          <w:rFonts w:asciiTheme="majorHAnsi" w:hAnsiTheme="majorHAnsi" w:cstheme="majorHAnsi"/>
          <w:lang w:val="en"/>
        </w:rPr>
        <w:t xml:space="preserve"> In particular, </w:t>
      </w:r>
      <w:r w:rsidR="00A40AF9" w:rsidRPr="00DA0209">
        <w:rPr>
          <w:rFonts w:ascii="Times New Roman" w:eastAsia="SimSun" w:hAnsi="Times New Roman" w:cs="Times New Roman"/>
          <w:color w:val="000000"/>
        </w:rPr>
        <w:t xml:space="preserve">the </w:t>
      </w:r>
      <w:r w:rsidR="00A0724C">
        <w:rPr>
          <w:rFonts w:ascii="Times New Roman" w:eastAsia="SimSun" w:hAnsi="Times New Roman" w:cs="Times New Roman"/>
          <w:color w:val="000000"/>
        </w:rPr>
        <w:t>E</w:t>
      </w:r>
      <w:r w:rsidR="00A40AF9">
        <w:rPr>
          <w:rFonts w:ascii="Times New Roman" w:eastAsia="SimSun" w:hAnsi="Times New Roman" w:cs="Times New Roman"/>
          <w:color w:val="000000"/>
        </w:rPr>
        <w:t xml:space="preserve">xpanded </w:t>
      </w:r>
      <w:r w:rsidR="00A40AF9" w:rsidRPr="00DA0209">
        <w:rPr>
          <w:rFonts w:ascii="Times New Roman" w:eastAsia="SimSun" w:hAnsi="Times New Roman" w:cs="Times New Roman"/>
          <w:color w:val="000000"/>
        </w:rPr>
        <w:t xml:space="preserve">AVM-by-FSD analysis </w:t>
      </w:r>
      <w:r w:rsidR="00A40AF9">
        <w:rPr>
          <w:rFonts w:ascii="Times New Roman" w:eastAsia="SimSun" w:hAnsi="Times New Roman" w:cs="Times New Roman"/>
          <w:color w:val="000000"/>
        </w:rPr>
        <w:t>uses</w:t>
      </w:r>
      <w:r w:rsidR="00A40AF9" w:rsidRPr="00DA0209">
        <w:rPr>
          <w:rFonts w:ascii="Times New Roman" w:eastAsia="SimSun" w:hAnsi="Times New Roman" w:cs="Times New Roman"/>
          <w:color w:val="000000"/>
        </w:rPr>
        <w:t xml:space="preserve"> eleven AVM Performance Metrics (not just the</w:t>
      </w:r>
      <w:r w:rsidR="00977B55">
        <w:rPr>
          <w:rFonts w:ascii="Times New Roman" w:eastAsia="SimSun" w:hAnsi="Times New Roman" w:cs="Times New Roman"/>
          <w:color w:val="000000"/>
        </w:rPr>
        <w:t xml:space="preserve"> </w:t>
      </w:r>
      <w:r w:rsidR="00A40AF9" w:rsidRPr="00DA0209">
        <w:rPr>
          <w:rFonts w:ascii="Times New Roman" w:eastAsia="SimSun" w:hAnsi="Times New Roman" w:cs="Times New Roman"/>
          <w:color w:val="000000"/>
        </w:rPr>
        <w:t xml:space="preserve">FSD) to rank each of the AVM/FSD combinations from </w:t>
      </w:r>
      <w:r w:rsidR="009A4A34">
        <w:rPr>
          <w:rFonts w:ascii="Times New Roman" w:eastAsia="SimSun" w:hAnsi="Times New Roman" w:cs="Times New Roman"/>
          <w:color w:val="000000"/>
        </w:rPr>
        <w:t>best performing to worst</w:t>
      </w:r>
      <w:r w:rsidR="00A40AF9" w:rsidRPr="00DA0209">
        <w:rPr>
          <w:rFonts w:ascii="Times New Roman" w:eastAsia="SimSun" w:hAnsi="Times New Roman" w:cs="Times New Roman"/>
          <w:color w:val="000000"/>
        </w:rPr>
        <w:t xml:space="preserve">. </w:t>
      </w:r>
      <w:r w:rsidR="00E01437">
        <w:rPr>
          <w:rFonts w:ascii="Times New Roman" w:eastAsia="SimSun" w:hAnsi="Times New Roman" w:cs="Times New Roman"/>
          <w:color w:val="000000"/>
        </w:rPr>
        <w:t>The</w:t>
      </w:r>
      <w:r w:rsidR="00870EDE" w:rsidRPr="00DA0209">
        <w:rPr>
          <w:rFonts w:ascii="Times New Roman" w:eastAsia="SimSun" w:hAnsi="Times New Roman" w:cs="Times New Roman"/>
          <w:color w:val="000000"/>
        </w:rPr>
        <w:t xml:space="preserve"> second</w:t>
      </w:r>
      <w:r w:rsidR="00E01437">
        <w:rPr>
          <w:rFonts w:ascii="Times New Roman" w:eastAsia="SimSun" w:hAnsi="Times New Roman" w:cs="Times New Roman"/>
          <w:color w:val="000000"/>
        </w:rPr>
        <w:t xml:space="preserve"> empirical analysis</w:t>
      </w:r>
      <w:r w:rsidR="00870EDE" w:rsidRPr="00DA0209">
        <w:rPr>
          <w:rFonts w:ascii="Times New Roman" w:eastAsia="SimSun" w:hAnsi="Times New Roman" w:cs="Times New Roman"/>
          <w:color w:val="000000"/>
        </w:rPr>
        <w:t xml:space="preserve"> </w:t>
      </w:r>
      <w:r w:rsidR="00B053CC">
        <w:rPr>
          <w:rFonts w:ascii="Times New Roman" w:eastAsia="SimSun" w:hAnsi="Times New Roman" w:cs="Times New Roman"/>
          <w:color w:val="000000"/>
        </w:rPr>
        <w:t xml:space="preserve">uses the AVM-ES to </w:t>
      </w:r>
      <w:r w:rsidR="00870EDE" w:rsidRPr="00DA0209">
        <w:rPr>
          <w:rFonts w:ascii="Times New Roman" w:eastAsia="SimSun" w:hAnsi="Times New Roman" w:cs="Times New Roman"/>
          <w:color w:val="000000"/>
        </w:rPr>
        <w:t xml:space="preserve">evaluate twelve commercial AVMs using </w:t>
      </w:r>
      <w:r w:rsidR="003E78D3">
        <w:rPr>
          <w:rFonts w:ascii="Times New Roman" w:eastAsia="SimSun" w:hAnsi="Times New Roman" w:cs="Times New Roman"/>
          <w:color w:val="000000"/>
        </w:rPr>
        <w:t xml:space="preserve">a commonly-valued </w:t>
      </w:r>
      <w:r w:rsidR="00870EDE" w:rsidRPr="00DA0209">
        <w:rPr>
          <w:rFonts w:ascii="Times New Roman" w:eastAsia="SimSun" w:hAnsi="Times New Roman" w:cs="Times New Roman"/>
          <w:color w:val="000000"/>
        </w:rPr>
        <w:t xml:space="preserve">set of 1,193 housing </w:t>
      </w:r>
      <w:r w:rsidR="00870EDE" w:rsidRPr="00DA0209">
        <w:rPr>
          <w:rFonts w:ascii="Times New Roman" w:eastAsia="SimSun" w:hAnsi="Times New Roman" w:cs="Times New Roman"/>
          <w:color w:val="000000"/>
        </w:rPr>
        <w:lastRenderedPageBreak/>
        <w:t xml:space="preserve">sales in Clark County, Nevada.  These 1,193 </w:t>
      </w:r>
      <w:r w:rsidR="00085450">
        <w:rPr>
          <w:rFonts w:ascii="Times New Roman" w:eastAsia="SimSun" w:hAnsi="Times New Roman" w:cs="Times New Roman"/>
          <w:color w:val="000000"/>
        </w:rPr>
        <w:t xml:space="preserve">benchmark </w:t>
      </w:r>
      <w:r w:rsidR="00870EDE" w:rsidRPr="00DA0209">
        <w:rPr>
          <w:rFonts w:ascii="Times New Roman" w:eastAsia="SimSun" w:hAnsi="Times New Roman" w:cs="Times New Roman"/>
          <w:color w:val="000000"/>
        </w:rPr>
        <w:t>properties</w:t>
      </w:r>
      <w:r w:rsidR="003E78D3">
        <w:rPr>
          <w:rFonts w:ascii="Times New Roman" w:eastAsia="SimSun" w:hAnsi="Times New Roman" w:cs="Times New Roman"/>
          <w:color w:val="000000"/>
        </w:rPr>
        <w:t xml:space="preserve">, </w:t>
      </w:r>
      <w:r w:rsidR="00870EDE" w:rsidRPr="00DA0209">
        <w:rPr>
          <w:rFonts w:ascii="Times New Roman" w:eastAsia="SimSun" w:hAnsi="Times New Roman" w:cs="Times New Roman"/>
          <w:color w:val="000000"/>
        </w:rPr>
        <w:t xml:space="preserve">which were culled from the </w:t>
      </w:r>
      <w:r w:rsidR="00085450">
        <w:rPr>
          <w:rFonts w:ascii="Times New Roman" w:eastAsia="SimSun" w:hAnsi="Times New Roman" w:cs="Times New Roman"/>
          <w:color w:val="000000"/>
        </w:rPr>
        <w:t>455,536 nationwide sales</w:t>
      </w:r>
      <w:r w:rsidR="00870EDE" w:rsidRPr="00DA0209">
        <w:rPr>
          <w:rFonts w:ascii="Times New Roman" w:eastAsia="SimSun" w:hAnsi="Times New Roman" w:cs="Times New Roman"/>
          <w:color w:val="000000"/>
        </w:rPr>
        <w:t xml:space="preserve"> in the first analysis, employ ten AVM Performance Metrics to identify the top-performing AVM in this market segment.</w:t>
      </w:r>
      <w:r w:rsidR="00870EDE" w:rsidRPr="00DA0209">
        <w:rPr>
          <w:rFonts w:ascii="Times New Roman" w:eastAsia="SimSun" w:hAnsi="Times New Roman" w:cs="Times New Roman"/>
          <w:color w:val="000000"/>
          <w:vertAlign w:val="superscript"/>
        </w:rPr>
        <w:footnoteReference w:id="30"/>
      </w:r>
      <w:r w:rsidR="00870EDE" w:rsidRPr="00DA0209">
        <w:rPr>
          <w:rFonts w:ascii="Times New Roman" w:eastAsia="SimSun" w:hAnsi="Times New Roman" w:cs="Times New Roman"/>
          <w:color w:val="000000"/>
        </w:rPr>
        <w:t xml:space="preserve"> </w:t>
      </w:r>
    </w:p>
    <w:p w14:paraId="1DCE4D50" w14:textId="21DBAD6C" w:rsidR="008A1725" w:rsidRPr="008A1725" w:rsidRDefault="008A1725" w:rsidP="008A1725">
      <w:pPr>
        <w:tabs>
          <w:tab w:val="num" w:pos="720"/>
        </w:tabs>
        <w:spacing w:line="360" w:lineRule="auto"/>
        <w:ind w:firstLine="0"/>
        <w:jc w:val="both"/>
        <w:rPr>
          <w:rFonts w:asciiTheme="majorHAnsi" w:hAnsiTheme="majorHAnsi" w:cstheme="majorHAnsi"/>
          <w:b/>
          <w:bCs/>
        </w:rPr>
      </w:pPr>
      <w:r>
        <w:rPr>
          <w:rFonts w:cstheme="majorHAnsi"/>
          <w:b/>
          <w:bCs/>
          <w:sz w:val="28"/>
          <w:szCs w:val="28"/>
        </w:rPr>
        <w:tab/>
      </w:r>
      <w:r>
        <w:rPr>
          <w:rFonts w:cstheme="majorHAnsi"/>
          <w:b/>
          <w:bCs/>
          <w:sz w:val="28"/>
          <w:szCs w:val="28"/>
        </w:rPr>
        <w:tab/>
      </w:r>
      <w:r w:rsidR="004C464E">
        <w:rPr>
          <w:rFonts w:cstheme="majorHAnsi"/>
          <w:b/>
          <w:bCs/>
          <w:sz w:val="28"/>
          <w:szCs w:val="28"/>
        </w:rPr>
        <w:t>5</w:t>
      </w:r>
      <w:r w:rsidRPr="000E2F23">
        <w:rPr>
          <w:rFonts w:cstheme="majorHAnsi"/>
          <w:b/>
          <w:bCs/>
          <w:sz w:val="28"/>
          <w:szCs w:val="28"/>
        </w:rPr>
        <w:t>a</w:t>
      </w:r>
      <w:r>
        <w:rPr>
          <w:rFonts w:cstheme="majorHAnsi"/>
          <w:b/>
          <w:bCs/>
          <w:sz w:val="28"/>
          <w:szCs w:val="28"/>
        </w:rPr>
        <w:t xml:space="preserve"> i</w:t>
      </w:r>
      <w:r w:rsidRPr="000E2F23">
        <w:rPr>
          <w:rFonts w:cstheme="majorHAnsi"/>
          <w:b/>
          <w:bCs/>
          <w:sz w:val="28"/>
          <w:szCs w:val="28"/>
        </w:rPr>
        <w:t xml:space="preserve">. </w:t>
      </w:r>
      <w:r>
        <w:rPr>
          <w:rFonts w:cstheme="majorHAnsi"/>
          <w:b/>
          <w:bCs/>
          <w:sz w:val="28"/>
          <w:szCs w:val="28"/>
        </w:rPr>
        <w:t>Expanded AVM-by-FSD Analysis</w:t>
      </w:r>
    </w:p>
    <w:p w14:paraId="7D773196" w14:textId="00548AE9" w:rsidR="009A64EA" w:rsidRDefault="00BD70F6" w:rsidP="006C6F69">
      <w:pPr>
        <w:tabs>
          <w:tab w:val="num" w:pos="720"/>
        </w:tabs>
        <w:spacing w:after="240" w:line="360" w:lineRule="auto"/>
        <w:ind w:firstLine="0"/>
        <w:jc w:val="both"/>
        <w:rPr>
          <w:rFonts w:asciiTheme="majorHAnsi" w:hAnsiTheme="majorHAnsi" w:cstheme="majorHAnsi"/>
        </w:rPr>
      </w:pPr>
      <w:r>
        <w:rPr>
          <w:rFonts w:asciiTheme="majorHAnsi" w:hAnsiTheme="majorHAnsi" w:cstheme="majorHAnsi"/>
        </w:rPr>
        <w:t>The</w:t>
      </w:r>
      <w:r w:rsidR="009A64EA">
        <w:rPr>
          <w:rFonts w:asciiTheme="majorHAnsi" w:hAnsiTheme="majorHAnsi" w:cstheme="majorHAnsi"/>
        </w:rPr>
        <w:t xml:space="preserve"> </w:t>
      </w:r>
      <w:r w:rsidR="00A0724C">
        <w:rPr>
          <w:rFonts w:asciiTheme="majorHAnsi" w:hAnsiTheme="majorHAnsi" w:cstheme="majorHAnsi"/>
        </w:rPr>
        <w:t>E</w:t>
      </w:r>
      <w:r w:rsidR="009A64EA" w:rsidRPr="00085450">
        <w:rPr>
          <w:rFonts w:asciiTheme="majorHAnsi" w:hAnsiTheme="majorHAnsi" w:cstheme="majorHAnsi"/>
        </w:rPr>
        <w:t>xpanded AVM-by-FSD analysis</w:t>
      </w:r>
      <w:r w:rsidR="009A64EA">
        <w:rPr>
          <w:rFonts w:asciiTheme="majorHAnsi" w:hAnsiTheme="majorHAnsi" w:cstheme="majorHAnsi"/>
        </w:rPr>
        <w:t xml:space="preserve"> </w:t>
      </w:r>
      <w:r w:rsidR="00507DDA">
        <w:rPr>
          <w:rFonts w:asciiTheme="majorHAnsi" w:hAnsiTheme="majorHAnsi" w:cstheme="majorHAnsi"/>
        </w:rPr>
        <w:t xml:space="preserve">employs </w:t>
      </w:r>
      <w:r>
        <w:rPr>
          <w:rFonts w:asciiTheme="majorHAnsi" w:hAnsiTheme="majorHAnsi" w:cstheme="majorHAnsi"/>
        </w:rPr>
        <w:t>eleven metrics, as seen in Exhibit 5,</w:t>
      </w:r>
      <w:r w:rsidR="00507DDA">
        <w:rPr>
          <w:rFonts w:asciiTheme="majorHAnsi" w:hAnsiTheme="majorHAnsi" w:cstheme="majorHAnsi"/>
        </w:rPr>
        <w:t xml:space="preserve"> to </w:t>
      </w:r>
      <w:r w:rsidR="009A64EA">
        <w:rPr>
          <w:rFonts w:asciiTheme="majorHAnsi" w:hAnsiTheme="majorHAnsi" w:cstheme="majorHAnsi"/>
        </w:rPr>
        <w:t xml:space="preserve">rank </w:t>
      </w:r>
      <w:r w:rsidR="00085450">
        <w:rPr>
          <w:rFonts w:asciiTheme="majorHAnsi" w:hAnsiTheme="majorHAnsi" w:cstheme="majorHAnsi"/>
        </w:rPr>
        <w:t xml:space="preserve">competing </w:t>
      </w:r>
      <w:r w:rsidR="009A64EA">
        <w:rPr>
          <w:rFonts w:asciiTheme="majorHAnsi" w:hAnsiTheme="majorHAnsi" w:cstheme="majorHAnsi"/>
        </w:rPr>
        <w:t>AVM</w:t>
      </w:r>
      <w:r w:rsidR="00507DDA">
        <w:rPr>
          <w:rFonts w:asciiTheme="majorHAnsi" w:hAnsiTheme="majorHAnsi" w:cstheme="majorHAnsi"/>
        </w:rPr>
        <w:t>s. Specifically, the AVM-ES is employed to rank the 367 AVM</w:t>
      </w:r>
      <w:r w:rsidR="009A64EA">
        <w:rPr>
          <w:rFonts w:asciiTheme="majorHAnsi" w:hAnsiTheme="majorHAnsi" w:cstheme="majorHAnsi"/>
        </w:rPr>
        <w:t>/FSD combinations</w:t>
      </w:r>
      <w:r w:rsidR="00A74BC5">
        <w:rPr>
          <w:rFonts w:asciiTheme="majorHAnsi" w:hAnsiTheme="majorHAnsi" w:cstheme="majorHAnsi"/>
        </w:rPr>
        <w:t xml:space="preserve"> from </w:t>
      </w:r>
      <w:r w:rsidR="009A4A34">
        <w:rPr>
          <w:rFonts w:asciiTheme="majorHAnsi" w:hAnsiTheme="majorHAnsi" w:cstheme="majorHAnsi"/>
        </w:rPr>
        <w:t>1</w:t>
      </w:r>
      <w:r w:rsidR="00B053CC">
        <w:rPr>
          <w:rFonts w:asciiTheme="majorHAnsi" w:hAnsiTheme="majorHAnsi" w:cstheme="majorHAnsi"/>
        </w:rPr>
        <w:t xml:space="preserve"> (best performance) </w:t>
      </w:r>
      <w:r w:rsidR="009A4A34">
        <w:rPr>
          <w:rFonts w:asciiTheme="majorHAnsi" w:hAnsiTheme="majorHAnsi" w:cstheme="majorHAnsi"/>
        </w:rPr>
        <w:t>to 367</w:t>
      </w:r>
      <w:r w:rsidR="00B053CC">
        <w:rPr>
          <w:rFonts w:asciiTheme="majorHAnsi" w:hAnsiTheme="majorHAnsi" w:cstheme="majorHAnsi"/>
        </w:rPr>
        <w:t xml:space="preserve"> (worst performance)</w:t>
      </w:r>
      <w:r w:rsidR="009A64EA">
        <w:rPr>
          <w:rFonts w:asciiTheme="majorHAnsi" w:hAnsiTheme="majorHAnsi" w:cstheme="majorHAnsi"/>
        </w:rPr>
        <w:t>.</w:t>
      </w:r>
      <w:r w:rsidR="009A4A34">
        <w:rPr>
          <w:rFonts w:asciiTheme="majorHAnsi" w:hAnsiTheme="majorHAnsi" w:cstheme="majorHAnsi"/>
        </w:rPr>
        <w:t xml:space="preserve">  </w:t>
      </w:r>
      <w:r w:rsidR="00977B55">
        <w:rPr>
          <w:rFonts w:asciiTheme="majorHAnsi" w:hAnsiTheme="majorHAnsi" w:cstheme="majorHAnsi"/>
        </w:rPr>
        <w:t>T</w:t>
      </w:r>
      <w:r w:rsidR="00870EDE" w:rsidRPr="00DA0209">
        <w:rPr>
          <w:rFonts w:ascii="Times New Roman" w:eastAsia="SimSun" w:hAnsi="Times New Roman" w:cs="Times New Roman"/>
          <w:color w:val="000000"/>
        </w:rPr>
        <w:t>h</w:t>
      </w:r>
      <w:r w:rsidR="00A74BC5">
        <w:rPr>
          <w:rFonts w:ascii="Times New Roman" w:eastAsia="SimSun" w:hAnsi="Times New Roman" w:cs="Times New Roman"/>
          <w:color w:val="000000"/>
        </w:rPr>
        <w:t>e</w:t>
      </w:r>
      <w:r w:rsidR="00870EDE" w:rsidRPr="00DA0209">
        <w:rPr>
          <w:rFonts w:ascii="Times New Roman" w:eastAsia="SimSun" w:hAnsi="Times New Roman" w:cs="Times New Roman"/>
          <w:color w:val="000000"/>
        </w:rPr>
        <w:t xml:space="preserve"> </w:t>
      </w:r>
      <w:r w:rsidR="00A0724C">
        <w:rPr>
          <w:rFonts w:ascii="Times New Roman" w:eastAsia="SimSun" w:hAnsi="Times New Roman" w:cs="Times New Roman"/>
          <w:color w:val="000000"/>
        </w:rPr>
        <w:t>E</w:t>
      </w:r>
      <w:r w:rsidR="00870EDE" w:rsidRPr="003E7CD5">
        <w:rPr>
          <w:rFonts w:ascii="Times New Roman" w:eastAsia="SimSun" w:hAnsi="Times New Roman" w:cs="Times New Roman"/>
          <w:color w:val="000000"/>
        </w:rPr>
        <w:t>xpanded AVM-by-FSD</w:t>
      </w:r>
      <w:r w:rsidR="00870EDE" w:rsidRPr="00DA0209">
        <w:rPr>
          <w:rFonts w:ascii="Times New Roman" w:eastAsia="SimSun" w:hAnsi="Times New Roman" w:cs="Times New Roman"/>
          <w:color w:val="000000"/>
        </w:rPr>
        <w:t xml:space="preserve"> analysis </w:t>
      </w:r>
      <w:r w:rsidR="00B053CC">
        <w:rPr>
          <w:rFonts w:ascii="Times New Roman" w:eastAsia="SimSun" w:hAnsi="Times New Roman" w:cs="Times New Roman"/>
          <w:color w:val="000000"/>
        </w:rPr>
        <w:t xml:space="preserve">can also </w:t>
      </w:r>
      <w:r w:rsidR="00870EDE" w:rsidRPr="00DA0209">
        <w:rPr>
          <w:rFonts w:ascii="Times New Roman" w:eastAsia="SimSun" w:hAnsi="Times New Roman" w:cs="Times New Roman"/>
          <w:color w:val="000000"/>
        </w:rPr>
        <w:t>identif</w:t>
      </w:r>
      <w:r w:rsidR="00B053CC">
        <w:rPr>
          <w:rFonts w:ascii="Times New Roman" w:eastAsia="SimSun" w:hAnsi="Times New Roman" w:cs="Times New Roman"/>
          <w:color w:val="000000"/>
        </w:rPr>
        <w:t>y</w:t>
      </w:r>
      <w:r w:rsidR="00870EDE" w:rsidRPr="00DA0209">
        <w:rPr>
          <w:rFonts w:ascii="Times New Roman" w:eastAsia="SimSun" w:hAnsi="Times New Roman" w:cs="Times New Roman"/>
          <w:color w:val="000000"/>
        </w:rPr>
        <w:t xml:space="preserve"> the </w:t>
      </w:r>
      <w:r w:rsidR="003D2B8F">
        <w:rPr>
          <w:rFonts w:ascii="Times New Roman" w:eastAsia="SimSun" w:hAnsi="Times New Roman" w:cs="Times New Roman"/>
          <w:color w:val="000000"/>
        </w:rPr>
        <w:t xml:space="preserve">vendor-reported </w:t>
      </w:r>
      <w:r w:rsidR="00870EDE" w:rsidRPr="00DA0209">
        <w:rPr>
          <w:rFonts w:ascii="Times New Roman" w:eastAsia="SimSun" w:hAnsi="Times New Roman" w:cs="Times New Roman"/>
          <w:color w:val="000000"/>
        </w:rPr>
        <w:t xml:space="preserve">FSD value at which each AVM performs best and illuminates which AVM performs best for all property sales with a given </w:t>
      </w:r>
      <w:r w:rsidR="003D2B8F">
        <w:rPr>
          <w:rFonts w:ascii="Times New Roman" w:eastAsia="SimSun" w:hAnsi="Times New Roman" w:cs="Times New Roman"/>
          <w:color w:val="000000"/>
        </w:rPr>
        <w:t xml:space="preserve">vendor-reported </w:t>
      </w:r>
      <w:r w:rsidR="00870EDE" w:rsidRPr="00DA0209">
        <w:rPr>
          <w:rFonts w:ascii="Times New Roman" w:eastAsia="SimSun" w:hAnsi="Times New Roman" w:cs="Times New Roman"/>
          <w:color w:val="000000"/>
        </w:rPr>
        <w:t xml:space="preserve">FSD.  </w:t>
      </w:r>
    </w:p>
    <w:p w14:paraId="4DFAACB0" w14:textId="16785EE2" w:rsidR="00957BF7" w:rsidRDefault="008A1725" w:rsidP="00977B55">
      <w:pPr>
        <w:tabs>
          <w:tab w:val="num" w:pos="720"/>
        </w:tabs>
        <w:spacing w:after="240" w:line="360" w:lineRule="auto"/>
        <w:ind w:firstLine="0"/>
        <w:jc w:val="both"/>
        <w:rPr>
          <w:rFonts w:asciiTheme="majorHAnsi" w:hAnsiTheme="majorHAnsi" w:cstheme="majorHAnsi"/>
          <w:lang w:val="en"/>
        </w:rPr>
      </w:pPr>
      <w:r>
        <w:rPr>
          <w:rFonts w:asciiTheme="majorHAnsi" w:hAnsiTheme="majorHAnsi" w:cstheme="majorHAnsi"/>
        </w:rPr>
        <w:t xml:space="preserve">Because </w:t>
      </w:r>
      <w:r w:rsidR="00DF0711" w:rsidRPr="00430456">
        <w:rPr>
          <w:rFonts w:asciiTheme="majorHAnsi" w:hAnsiTheme="majorHAnsi" w:cstheme="majorHAnsi"/>
        </w:rPr>
        <w:t>all eleven AVM Performance Metrics</w:t>
      </w:r>
      <w:r w:rsidR="00957BF7" w:rsidRPr="00430456">
        <w:rPr>
          <w:rFonts w:asciiTheme="majorHAnsi" w:hAnsiTheme="majorHAnsi" w:cstheme="majorHAnsi"/>
        </w:rPr>
        <w:t xml:space="preserve"> in the </w:t>
      </w:r>
      <w:r w:rsidR="00A0724C">
        <w:rPr>
          <w:rFonts w:asciiTheme="majorHAnsi" w:hAnsiTheme="majorHAnsi" w:cstheme="majorHAnsi"/>
        </w:rPr>
        <w:t>E</w:t>
      </w:r>
      <w:r w:rsidR="00926719" w:rsidRPr="00430456">
        <w:rPr>
          <w:rFonts w:asciiTheme="majorHAnsi" w:hAnsiTheme="majorHAnsi" w:cstheme="majorHAnsi"/>
        </w:rPr>
        <w:t>xpanded AVM-by-FSD analysis</w:t>
      </w:r>
      <w:r w:rsidR="00DF0711" w:rsidRPr="00430456">
        <w:rPr>
          <w:rFonts w:asciiTheme="majorHAnsi" w:hAnsiTheme="majorHAnsi" w:cstheme="majorHAnsi"/>
        </w:rPr>
        <w:t xml:space="preserve"> </w:t>
      </w:r>
      <w:r w:rsidR="00DF0711" w:rsidRPr="008F5B7E">
        <w:rPr>
          <w:rFonts w:asciiTheme="majorHAnsi" w:hAnsiTheme="majorHAnsi" w:cstheme="majorHAnsi"/>
        </w:rPr>
        <w:t>a</w:t>
      </w:r>
      <w:r w:rsidR="00DF0711" w:rsidRPr="00430456">
        <w:rPr>
          <w:rFonts w:asciiTheme="majorHAnsi" w:hAnsiTheme="majorHAnsi" w:cstheme="majorHAnsi"/>
        </w:rPr>
        <w:t>re based upon the percentage sales</w:t>
      </w:r>
      <w:r w:rsidR="00957BF7" w:rsidRPr="00430456">
        <w:rPr>
          <w:rFonts w:asciiTheme="majorHAnsi" w:hAnsiTheme="majorHAnsi" w:cstheme="majorHAnsi"/>
        </w:rPr>
        <w:t xml:space="preserve"> error,</w:t>
      </w:r>
      <w:r w:rsidR="00DF0711" w:rsidRPr="00430456">
        <w:rPr>
          <w:rFonts w:asciiTheme="majorHAnsi" w:hAnsiTheme="majorHAnsi" w:cstheme="majorHAnsi"/>
        </w:rPr>
        <w:t xml:space="preserve"> the </w:t>
      </w:r>
      <w:r w:rsidR="00ED0717" w:rsidRPr="00430456">
        <w:rPr>
          <w:rFonts w:asciiTheme="majorHAnsi" w:hAnsiTheme="majorHAnsi" w:cstheme="majorHAnsi"/>
        </w:rPr>
        <w:t xml:space="preserve">common scale allows the </w:t>
      </w:r>
      <w:r w:rsidR="00EB40E0" w:rsidRPr="00430456">
        <w:rPr>
          <w:rFonts w:asciiTheme="majorHAnsi" w:hAnsiTheme="majorHAnsi" w:cstheme="majorHAnsi"/>
        </w:rPr>
        <w:t xml:space="preserve">AVM-ES to </w:t>
      </w:r>
      <w:r w:rsidR="00ED0717" w:rsidRPr="00430456">
        <w:rPr>
          <w:rFonts w:asciiTheme="majorHAnsi" w:hAnsiTheme="majorHAnsi" w:cstheme="majorHAnsi"/>
        </w:rPr>
        <w:t xml:space="preserve">use the </w:t>
      </w:r>
      <w:r w:rsidR="00DF0711" w:rsidRPr="00430456">
        <w:rPr>
          <w:rFonts w:asciiTheme="majorHAnsi" w:hAnsiTheme="majorHAnsi" w:cstheme="majorHAnsi"/>
        </w:rPr>
        <w:t>variance-covariance matrix</w:t>
      </w:r>
      <w:r w:rsidR="00957BF7" w:rsidRPr="00430456">
        <w:rPr>
          <w:rFonts w:asciiTheme="majorHAnsi" w:hAnsiTheme="majorHAnsi" w:cstheme="majorHAnsi"/>
        </w:rPr>
        <w:t>, instead of the correlation matrix</w:t>
      </w:r>
      <w:r w:rsidR="00EB40E0" w:rsidRPr="00430456">
        <w:rPr>
          <w:rFonts w:asciiTheme="majorHAnsi" w:hAnsiTheme="majorHAnsi" w:cstheme="majorHAnsi"/>
        </w:rPr>
        <w:t>, in the PCA</w:t>
      </w:r>
      <w:r w:rsidR="00ED0717" w:rsidRPr="00430456">
        <w:rPr>
          <w:rFonts w:asciiTheme="majorHAnsi" w:hAnsiTheme="majorHAnsi" w:cstheme="majorHAnsi"/>
        </w:rPr>
        <w:t>.</w:t>
      </w:r>
      <w:r w:rsidR="000131D6">
        <w:rPr>
          <w:rFonts w:asciiTheme="majorHAnsi" w:hAnsiTheme="majorHAnsi" w:cstheme="majorHAnsi"/>
        </w:rPr>
        <w:t xml:space="preserve">  In other words, because a one</w:t>
      </w:r>
      <w:r w:rsidR="00510177">
        <w:rPr>
          <w:rFonts w:asciiTheme="majorHAnsi" w:hAnsiTheme="majorHAnsi" w:cstheme="majorHAnsi"/>
        </w:rPr>
        <w:t>-</w:t>
      </w:r>
      <w:r w:rsidR="000131D6">
        <w:rPr>
          <w:rFonts w:asciiTheme="majorHAnsi" w:hAnsiTheme="majorHAnsi" w:cstheme="majorHAnsi"/>
        </w:rPr>
        <w:t>unit change for any of the</w:t>
      </w:r>
      <w:r w:rsidR="006C6F69">
        <w:rPr>
          <w:rFonts w:asciiTheme="majorHAnsi" w:hAnsiTheme="majorHAnsi" w:cstheme="majorHAnsi"/>
        </w:rPr>
        <w:t>se</w:t>
      </w:r>
      <w:r w:rsidR="000131D6">
        <w:rPr>
          <w:rFonts w:asciiTheme="majorHAnsi" w:hAnsiTheme="majorHAnsi" w:cstheme="majorHAnsi"/>
        </w:rPr>
        <w:t xml:space="preserve"> eleven </w:t>
      </w:r>
      <w:r w:rsidR="00BD70F6">
        <w:rPr>
          <w:rFonts w:asciiTheme="majorHAnsi" w:hAnsiTheme="majorHAnsi" w:cstheme="majorHAnsi"/>
        </w:rPr>
        <w:t>metrics</w:t>
      </w:r>
      <w:r w:rsidR="000131D6">
        <w:rPr>
          <w:rFonts w:asciiTheme="majorHAnsi" w:hAnsiTheme="majorHAnsi" w:cstheme="majorHAnsi"/>
        </w:rPr>
        <w:t xml:space="preserve"> has the exact same </w:t>
      </w:r>
      <w:r w:rsidR="009C751B">
        <w:rPr>
          <w:rFonts w:asciiTheme="majorHAnsi" w:hAnsiTheme="majorHAnsi" w:cstheme="majorHAnsi"/>
        </w:rPr>
        <w:t xml:space="preserve">numeric </w:t>
      </w:r>
      <w:r w:rsidR="000131D6">
        <w:rPr>
          <w:rFonts w:asciiTheme="majorHAnsi" w:hAnsiTheme="majorHAnsi" w:cstheme="majorHAnsi"/>
        </w:rPr>
        <w:t>interpretation, then the m</w:t>
      </w:r>
      <w:r w:rsidR="00E55A13">
        <w:rPr>
          <w:rFonts w:asciiTheme="majorHAnsi" w:hAnsiTheme="majorHAnsi" w:cstheme="majorHAnsi"/>
        </w:rPr>
        <w:t>etrics</w:t>
      </w:r>
      <w:r w:rsidR="00ED0717">
        <w:rPr>
          <w:rFonts w:asciiTheme="majorHAnsi" w:hAnsiTheme="majorHAnsi" w:cstheme="majorHAnsi"/>
        </w:rPr>
        <w:t xml:space="preserve"> </w:t>
      </w:r>
      <w:r w:rsidR="00904A60">
        <w:rPr>
          <w:rFonts w:asciiTheme="majorHAnsi" w:hAnsiTheme="majorHAnsi" w:cstheme="majorHAnsi"/>
        </w:rPr>
        <w:t>having</w:t>
      </w:r>
      <w:r w:rsidR="00ED0717">
        <w:rPr>
          <w:rFonts w:asciiTheme="majorHAnsi" w:hAnsiTheme="majorHAnsi" w:cstheme="majorHAnsi"/>
        </w:rPr>
        <w:t xml:space="preserve"> the most variability allow the AVM-ES to compare</w:t>
      </w:r>
      <w:r w:rsidR="00EB40E0">
        <w:rPr>
          <w:rFonts w:asciiTheme="majorHAnsi" w:hAnsiTheme="majorHAnsi" w:cstheme="majorHAnsi"/>
        </w:rPr>
        <w:t>, rank and grade</w:t>
      </w:r>
      <w:r w:rsidR="00ED0717">
        <w:rPr>
          <w:rFonts w:asciiTheme="majorHAnsi" w:hAnsiTheme="majorHAnsi" w:cstheme="majorHAnsi"/>
        </w:rPr>
        <w:t xml:space="preserve"> AVMs</w:t>
      </w:r>
      <w:r w:rsidR="00957BF7">
        <w:rPr>
          <w:rFonts w:asciiTheme="majorHAnsi" w:hAnsiTheme="majorHAnsi" w:cstheme="majorHAnsi"/>
        </w:rPr>
        <w:t xml:space="preserve">. </w:t>
      </w:r>
      <w:r w:rsidR="00957BF7">
        <w:rPr>
          <w:rFonts w:asciiTheme="majorHAnsi" w:hAnsiTheme="majorHAnsi" w:cstheme="majorHAnsi"/>
          <w:lang w:val="en"/>
        </w:rPr>
        <w:t xml:space="preserve">In general, the less variability, the lower the weight (coefficient) that the marginal </w:t>
      </w:r>
      <w:r w:rsidR="00580CF9">
        <w:rPr>
          <w:rFonts w:asciiTheme="majorHAnsi" w:hAnsiTheme="majorHAnsi" w:cstheme="majorHAnsi"/>
          <w:lang w:val="en"/>
        </w:rPr>
        <w:t>metric</w:t>
      </w:r>
      <w:r w:rsidR="00957BF7">
        <w:rPr>
          <w:rFonts w:asciiTheme="majorHAnsi" w:hAnsiTheme="majorHAnsi" w:cstheme="majorHAnsi"/>
          <w:lang w:val="en"/>
        </w:rPr>
        <w:t xml:space="preserve"> receives in the AVM-ES.</w:t>
      </w:r>
      <w:r w:rsidR="00F552CB">
        <w:rPr>
          <w:rFonts w:asciiTheme="majorHAnsi" w:hAnsiTheme="majorHAnsi" w:cstheme="majorHAnsi"/>
          <w:lang w:val="en"/>
        </w:rPr>
        <w:t xml:space="preserve">  For the </w:t>
      </w:r>
      <w:r w:rsidR="00A0724C">
        <w:rPr>
          <w:rFonts w:asciiTheme="majorHAnsi" w:hAnsiTheme="majorHAnsi" w:cstheme="majorHAnsi"/>
          <w:lang w:val="en"/>
        </w:rPr>
        <w:t>E</w:t>
      </w:r>
      <w:r w:rsidR="00F552CB">
        <w:rPr>
          <w:rFonts w:asciiTheme="majorHAnsi" w:hAnsiTheme="majorHAnsi" w:cstheme="majorHAnsi"/>
          <w:lang w:val="en"/>
        </w:rPr>
        <w:t xml:space="preserve">xpanded AVM-by-FSD analysis in this section, the AVM-ES explains 83.5 percent of the total variability in the ten </w:t>
      </w:r>
      <w:r w:rsidR="00580CF9">
        <w:rPr>
          <w:rFonts w:asciiTheme="majorHAnsi" w:hAnsiTheme="majorHAnsi" w:cstheme="majorHAnsi"/>
          <w:lang w:val="en"/>
        </w:rPr>
        <w:t>AVM Performance Metrics</w:t>
      </w:r>
      <w:r w:rsidR="00F552CB">
        <w:rPr>
          <w:rFonts w:asciiTheme="majorHAnsi" w:hAnsiTheme="majorHAnsi" w:cstheme="majorHAnsi"/>
          <w:lang w:val="en"/>
        </w:rPr>
        <w:t xml:space="preserve">. </w:t>
      </w:r>
      <w:r w:rsidR="00957BF7">
        <w:rPr>
          <w:rFonts w:asciiTheme="majorHAnsi" w:hAnsiTheme="majorHAnsi" w:cstheme="majorHAnsi"/>
          <w:lang w:val="en"/>
        </w:rPr>
        <w:t xml:space="preserve">  </w:t>
      </w:r>
    </w:p>
    <w:p w14:paraId="36667E02" w14:textId="6BB3C86B" w:rsidR="006C6F69" w:rsidRPr="006C6F69" w:rsidRDefault="006C6F69" w:rsidP="006C6F69">
      <w:pPr>
        <w:tabs>
          <w:tab w:val="num" w:pos="720"/>
        </w:tabs>
        <w:spacing w:line="360" w:lineRule="auto"/>
        <w:ind w:firstLine="0"/>
        <w:jc w:val="center"/>
        <w:rPr>
          <w:rFonts w:asciiTheme="majorHAnsi" w:hAnsiTheme="majorHAnsi" w:cstheme="majorHAnsi"/>
          <w:lang w:val="en"/>
        </w:rPr>
      </w:pPr>
      <w:r w:rsidRPr="008F5B7E">
        <w:rPr>
          <w:rFonts w:asciiTheme="majorHAnsi" w:hAnsiTheme="majorHAnsi" w:cstheme="majorHAnsi"/>
        </w:rPr>
        <w:t xml:space="preserve">Exhibit </w:t>
      </w:r>
      <w:r w:rsidR="00884A7C" w:rsidRPr="008F5B7E">
        <w:rPr>
          <w:rFonts w:asciiTheme="majorHAnsi" w:hAnsiTheme="majorHAnsi" w:cstheme="majorHAnsi"/>
        </w:rPr>
        <w:t>5</w:t>
      </w:r>
      <w:r>
        <w:rPr>
          <w:rFonts w:asciiTheme="majorHAnsi" w:hAnsiTheme="majorHAnsi" w:cstheme="majorHAnsi"/>
        </w:rPr>
        <w:t xml:space="preserve"> About Here</w:t>
      </w:r>
    </w:p>
    <w:p w14:paraId="0AE30E50" w14:textId="24F5AD3A" w:rsidR="00620434" w:rsidRDefault="004154AE" w:rsidP="00FF0B02">
      <w:pPr>
        <w:tabs>
          <w:tab w:val="num" w:pos="720"/>
        </w:tabs>
        <w:spacing w:before="240" w:after="240" w:line="360" w:lineRule="auto"/>
        <w:ind w:firstLine="0"/>
        <w:jc w:val="both"/>
        <w:rPr>
          <w:rFonts w:asciiTheme="majorHAnsi" w:hAnsiTheme="majorHAnsi" w:cstheme="majorHAnsi"/>
          <w:lang w:val="en"/>
        </w:rPr>
      </w:pPr>
      <w:r w:rsidRPr="008F5B7E">
        <w:rPr>
          <w:rFonts w:asciiTheme="majorHAnsi" w:hAnsiTheme="majorHAnsi" w:cstheme="majorHAnsi"/>
          <w:lang w:val="en"/>
        </w:rPr>
        <w:t>Exhibit</w:t>
      </w:r>
      <w:r w:rsidR="00620434" w:rsidRPr="008F5B7E">
        <w:rPr>
          <w:rFonts w:asciiTheme="majorHAnsi" w:hAnsiTheme="majorHAnsi" w:cstheme="majorHAnsi"/>
          <w:lang w:val="en"/>
        </w:rPr>
        <w:t xml:space="preserve"> </w:t>
      </w:r>
      <w:r w:rsidR="00884A7C" w:rsidRPr="008F5B7E">
        <w:rPr>
          <w:rFonts w:asciiTheme="majorHAnsi" w:hAnsiTheme="majorHAnsi" w:cstheme="majorHAnsi"/>
          <w:lang w:val="en"/>
        </w:rPr>
        <w:t>5</w:t>
      </w:r>
      <w:r w:rsidR="00620434" w:rsidRPr="008F5B7E">
        <w:rPr>
          <w:rFonts w:asciiTheme="majorHAnsi" w:hAnsiTheme="majorHAnsi" w:cstheme="majorHAnsi"/>
          <w:lang w:val="en"/>
        </w:rPr>
        <w:t xml:space="preserve"> </w:t>
      </w:r>
      <w:r w:rsidR="006C6F69" w:rsidRPr="008F5B7E">
        <w:rPr>
          <w:rFonts w:asciiTheme="majorHAnsi" w:hAnsiTheme="majorHAnsi" w:cstheme="majorHAnsi"/>
          <w:lang w:val="en"/>
        </w:rPr>
        <w:t>also</w:t>
      </w:r>
      <w:r w:rsidR="006C6F69">
        <w:rPr>
          <w:rFonts w:asciiTheme="majorHAnsi" w:hAnsiTheme="majorHAnsi" w:cstheme="majorHAnsi"/>
          <w:lang w:val="en"/>
        </w:rPr>
        <w:t xml:space="preserve"> </w:t>
      </w:r>
      <w:r w:rsidR="00620434">
        <w:rPr>
          <w:rFonts w:asciiTheme="majorHAnsi" w:hAnsiTheme="majorHAnsi" w:cstheme="majorHAnsi"/>
          <w:lang w:val="en"/>
        </w:rPr>
        <w:t xml:space="preserve">shows the </w:t>
      </w:r>
      <w:r w:rsidR="003A0E2E">
        <w:rPr>
          <w:rFonts w:asciiTheme="majorHAnsi" w:hAnsiTheme="majorHAnsi" w:cstheme="majorHAnsi"/>
          <w:lang w:val="en"/>
        </w:rPr>
        <w:t xml:space="preserve">standard deviations for the </w:t>
      </w:r>
      <w:r w:rsidR="008F5579">
        <w:rPr>
          <w:rFonts w:asciiTheme="majorHAnsi" w:hAnsiTheme="majorHAnsi" w:cstheme="majorHAnsi"/>
          <w:lang w:val="en"/>
        </w:rPr>
        <w:t xml:space="preserve">eleven </w:t>
      </w:r>
      <w:r w:rsidR="00BD70F6">
        <w:rPr>
          <w:rFonts w:asciiTheme="majorHAnsi" w:hAnsiTheme="majorHAnsi" w:cstheme="majorHAnsi"/>
          <w:lang w:val="en"/>
        </w:rPr>
        <w:t>metrics</w:t>
      </w:r>
      <w:r w:rsidR="00926719">
        <w:rPr>
          <w:rFonts w:asciiTheme="majorHAnsi" w:hAnsiTheme="majorHAnsi" w:cstheme="majorHAnsi"/>
          <w:lang w:val="en"/>
        </w:rPr>
        <w:t xml:space="preserve"> used in the</w:t>
      </w:r>
      <w:r w:rsidR="00FF0B02">
        <w:rPr>
          <w:rFonts w:asciiTheme="majorHAnsi" w:hAnsiTheme="majorHAnsi" w:cstheme="majorHAnsi"/>
          <w:lang w:val="en"/>
        </w:rPr>
        <w:t xml:space="preserve"> </w:t>
      </w:r>
      <w:r w:rsidR="00A0724C">
        <w:rPr>
          <w:rFonts w:asciiTheme="majorHAnsi" w:hAnsiTheme="majorHAnsi" w:cstheme="majorHAnsi"/>
          <w:lang w:val="en"/>
        </w:rPr>
        <w:t>E</w:t>
      </w:r>
      <w:r w:rsidR="00FF0B02">
        <w:rPr>
          <w:rFonts w:asciiTheme="majorHAnsi" w:hAnsiTheme="majorHAnsi" w:cstheme="majorHAnsi"/>
          <w:lang w:val="en"/>
        </w:rPr>
        <w:t>xpanded AVM-by-FSD analysis,</w:t>
      </w:r>
      <w:r w:rsidR="00926719">
        <w:rPr>
          <w:rStyle w:val="FootnoteReference"/>
          <w:rFonts w:asciiTheme="majorHAnsi" w:hAnsiTheme="majorHAnsi" w:cstheme="majorHAnsi"/>
        </w:rPr>
        <w:footnoteReference w:id="31"/>
      </w:r>
      <w:r w:rsidR="00620434">
        <w:rPr>
          <w:rFonts w:asciiTheme="majorHAnsi" w:hAnsiTheme="majorHAnsi" w:cstheme="majorHAnsi"/>
          <w:lang w:val="en"/>
        </w:rPr>
        <w:t xml:space="preserve"> together with </w:t>
      </w:r>
      <w:r w:rsidR="003A0E2E">
        <w:rPr>
          <w:rFonts w:asciiTheme="majorHAnsi" w:hAnsiTheme="majorHAnsi" w:cstheme="majorHAnsi"/>
          <w:lang w:val="en"/>
        </w:rPr>
        <w:t>the</w:t>
      </w:r>
      <w:r w:rsidR="00620434">
        <w:rPr>
          <w:rFonts w:asciiTheme="majorHAnsi" w:hAnsiTheme="majorHAnsi" w:cstheme="majorHAnsi"/>
          <w:lang w:val="en"/>
        </w:rPr>
        <w:t xml:space="preserve"> </w:t>
      </w:r>
      <w:r w:rsidR="002D7528">
        <w:rPr>
          <w:rFonts w:asciiTheme="majorHAnsi" w:hAnsiTheme="majorHAnsi" w:cstheme="majorHAnsi"/>
          <w:lang w:val="en"/>
        </w:rPr>
        <w:t xml:space="preserve">normalized </w:t>
      </w:r>
      <w:r w:rsidR="00620434">
        <w:rPr>
          <w:rFonts w:asciiTheme="majorHAnsi" w:hAnsiTheme="majorHAnsi" w:cstheme="majorHAnsi"/>
          <w:lang w:val="en"/>
        </w:rPr>
        <w:t xml:space="preserve">weight </w:t>
      </w:r>
      <w:r w:rsidR="002D7528">
        <w:rPr>
          <w:rFonts w:asciiTheme="majorHAnsi" w:hAnsiTheme="majorHAnsi" w:cstheme="majorHAnsi"/>
          <w:lang w:val="en"/>
        </w:rPr>
        <w:t>assigned to</w:t>
      </w:r>
      <w:r w:rsidR="00620434">
        <w:rPr>
          <w:rFonts w:asciiTheme="majorHAnsi" w:hAnsiTheme="majorHAnsi" w:cstheme="majorHAnsi"/>
          <w:lang w:val="en"/>
        </w:rPr>
        <w:t xml:space="preserve"> each metric </w:t>
      </w:r>
      <w:r w:rsidR="00FF0B02">
        <w:rPr>
          <w:rFonts w:asciiTheme="majorHAnsi" w:hAnsiTheme="majorHAnsi" w:cstheme="majorHAnsi"/>
          <w:lang w:val="en"/>
        </w:rPr>
        <w:t>by</w:t>
      </w:r>
      <w:r w:rsidR="00620434">
        <w:rPr>
          <w:rFonts w:asciiTheme="majorHAnsi" w:hAnsiTheme="majorHAnsi" w:cstheme="majorHAnsi"/>
          <w:lang w:val="en"/>
        </w:rPr>
        <w:t xml:space="preserve"> the AVM-ES.</w:t>
      </w:r>
      <w:r w:rsidR="007C03DD">
        <w:rPr>
          <w:rFonts w:asciiTheme="majorHAnsi" w:hAnsiTheme="majorHAnsi" w:cstheme="majorHAnsi"/>
          <w:lang w:val="en"/>
        </w:rPr>
        <w:t xml:space="preserve"> </w:t>
      </w:r>
      <w:r w:rsidR="00ED0717">
        <w:rPr>
          <w:rFonts w:asciiTheme="majorHAnsi" w:hAnsiTheme="majorHAnsi" w:cstheme="majorHAnsi"/>
          <w:lang w:val="en"/>
        </w:rPr>
        <w:t>The f</w:t>
      </w:r>
      <w:r w:rsidR="007C03DD">
        <w:rPr>
          <w:rFonts w:asciiTheme="majorHAnsi" w:hAnsiTheme="majorHAnsi" w:cstheme="majorHAnsi"/>
          <w:lang w:val="en"/>
        </w:rPr>
        <w:t xml:space="preserve">our </w:t>
      </w:r>
      <w:r w:rsidR="00620434">
        <w:rPr>
          <w:rFonts w:asciiTheme="majorHAnsi" w:hAnsiTheme="majorHAnsi" w:cstheme="majorHAnsi"/>
          <w:lang w:val="en"/>
        </w:rPr>
        <w:t xml:space="preserve">Failure Rates (FR5, FR10, FR15 and FR20, respectively) have the highest variability and, </w:t>
      </w:r>
      <w:r w:rsidR="00620434">
        <w:rPr>
          <w:rFonts w:asciiTheme="majorHAnsi" w:hAnsiTheme="majorHAnsi" w:cstheme="majorHAnsi"/>
          <w:lang w:val="en"/>
        </w:rPr>
        <w:lastRenderedPageBreak/>
        <w:t xml:space="preserve">as a result, receive </w:t>
      </w:r>
      <w:r w:rsidR="00910A7C">
        <w:rPr>
          <w:rFonts w:asciiTheme="majorHAnsi" w:hAnsiTheme="majorHAnsi" w:cstheme="majorHAnsi"/>
          <w:lang w:val="en"/>
        </w:rPr>
        <w:t>the most</w:t>
      </w:r>
      <w:r w:rsidR="00620434">
        <w:rPr>
          <w:rFonts w:asciiTheme="majorHAnsi" w:hAnsiTheme="majorHAnsi" w:cstheme="majorHAnsi"/>
          <w:lang w:val="en"/>
        </w:rPr>
        <w:t xml:space="preserve"> weight in the AVM-ES.</w:t>
      </w:r>
      <w:r w:rsidR="00AB50CB">
        <w:rPr>
          <w:rFonts w:asciiTheme="majorHAnsi" w:hAnsiTheme="majorHAnsi" w:cstheme="majorHAnsi"/>
          <w:lang w:val="en"/>
        </w:rPr>
        <w:t xml:space="preserve"> </w:t>
      </w:r>
      <w:r w:rsidR="002D7528">
        <w:rPr>
          <w:rFonts w:asciiTheme="majorHAnsi" w:hAnsiTheme="majorHAnsi" w:cstheme="majorHAnsi"/>
          <w:lang w:val="en"/>
        </w:rPr>
        <w:t xml:space="preserve">The </w:t>
      </w:r>
      <w:r w:rsidR="00AB50CB">
        <w:rPr>
          <w:rFonts w:asciiTheme="majorHAnsi" w:hAnsiTheme="majorHAnsi" w:cstheme="majorHAnsi"/>
          <w:lang w:val="en"/>
        </w:rPr>
        <w:t>me</w:t>
      </w:r>
      <w:r w:rsidR="002D7528">
        <w:rPr>
          <w:rFonts w:asciiTheme="majorHAnsi" w:hAnsiTheme="majorHAnsi" w:cstheme="majorHAnsi"/>
          <w:lang w:val="en"/>
        </w:rPr>
        <w:t xml:space="preserve">dian </w:t>
      </w:r>
      <w:r w:rsidR="00AB50CB">
        <w:rPr>
          <w:rFonts w:asciiTheme="majorHAnsi" w:hAnsiTheme="majorHAnsi" w:cstheme="majorHAnsi"/>
          <w:lang w:val="en"/>
        </w:rPr>
        <w:t>p</w:t>
      </w:r>
      <w:r w:rsidR="002D7528">
        <w:rPr>
          <w:rFonts w:asciiTheme="majorHAnsi" w:hAnsiTheme="majorHAnsi" w:cstheme="majorHAnsi"/>
          <w:lang w:val="en"/>
        </w:rPr>
        <w:t xml:space="preserve">ercentage sales error receives </w:t>
      </w:r>
      <w:r w:rsidR="009462AF">
        <w:rPr>
          <w:rFonts w:asciiTheme="majorHAnsi" w:hAnsiTheme="majorHAnsi" w:cstheme="majorHAnsi"/>
          <w:lang w:val="en"/>
        </w:rPr>
        <w:t>the</w:t>
      </w:r>
      <w:r w:rsidR="002D7528">
        <w:rPr>
          <w:rFonts w:asciiTheme="majorHAnsi" w:hAnsiTheme="majorHAnsi" w:cstheme="majorHAnsi"/>
          <w:lang w:val="en"/>
        </w:rPr>
        <w:t xml:space="preserve"> smallest </w:t>
      </w:r>
      <w:r w:rsidR="00AB50CB">
        <w:rPr>
          <w:rFonts w:asciiTheme="majorHAnsi" w:hAnsiTheme="majorHAnsi" w:cstheme="majorHAnsi"/>
          <w:lang w:val="en"/>
        </w:rPr>
        <w:t xml:space="preserve">normalized </w:t>
      </w:r>
      <w:r w:rsidR="002D7528">
        <w:rPr>
          <w:rFonts w:asciiTheme="majorHAnsi" w:hAnsiTheme="majorHAnsi" w:cstheme="majorHAnsi"/>
          <w:lang w:val="en"/>
        </w:rPr>
        <w:t>weight (2.8%).</w:t>
      </w:r>
      <w:r w:rsidR="00620434">
        <w:rPr>
          <w:rFonts w:asciiTheme="majorHAnsi" w:hAnsiTheme="majorHAnsi" w:cstheme="majorHAnsi"/>
          <w:lang w:val="en"/>
        </w:rPr>
        <w:t xml:space="preserve"> </w:t>
      </w:r>
      <w:r w:rsidR="009F1771">
        <w:rPr>
          <w:rFonts w:asciiTheme="majorHAnsi" w:hAnsiTheme="majorHAnsi" w:cstheme="majorHAnsi"/>
          <w:lang w:val="en"/>
        </w:rPr>
        <w:t xml:space="preserve"> Note that e</w:t>
      </w:r>
      <w:r w:rsidR="00620434">
        <w:rPr>
          <w:rFonts w:asciiTheme="majorHAnsi" w:hAnsiTheme="majorHAnsi" w:cstheme="majorHAnsi"/>
          <w:lang w:val="en"/>
        </w:rPr>
        <w:t xml:space="preserve">ach weight is not directly proportional to the standard deviation, </w:t>
      </w:r>
      <w:r w:rsidR="003A0E2E">
        <w:rPr>
          <w:rFonts w:asciiTheme="majorHAnsi" w:hAnsiTheme="majorHAnsi" w:cstheme="majorHAnsi"/>
          <w:lang w:val="en"/>
        </w:rPr>
        <w:t>because</w:t>
      </w:r>
      <w:r w:rsidR="00620434">
        <w:rPr>
          <w:rFonts w:asciiTheme="majorHAnsi" w:hAnsiTheme="majorHAnsi" w:cstheme="majorHAnsi"/>
          <w:lang w:val="en"/>
        </w:rPr>
        <w:t xml:space="preserve"> the coefficient in the AVM-ES </w:t>
      </w:r>
      <w:r w:rsidR="003A0E2E">
        <w:rPr>
          <w:rFonts w:asciiTheme="majorHAnsi" w:hAnsiTheme="majorHAnsi" w:cstheme="majorHAnsi"/>
          <w:lang w:val="en"/>
        </w:rPr>
        <w:t>is</w:t>
      </w:r>
      <w:r w:rsidR="00620434">
        <w:rPr>
          <w:rFonts w:asciiTheme="majorHAnsi" w:hAnsiTheme="majorHAnsi" w:cstheme="majorHAnsi"/>
          <w:lang w:val="en"/>
        </w:rPr>
        <w:t xml:space="preserve"> a function of the correlations between the eleven </w:t>
      </w:r>
      <w:r w:rsidR="00910FF3">
        <w:rPr>
          <w:rFonts w:asciiTheme="majorHAnsi" w:hAnsiTheme="majorHAnsi" w:cstheme="majorHAnsi"/>
          <w:lang w:val="en"/>
        </w:rPr>
        <w:t>metrics</w:t>
      </w:r>
      <w:r w:rsidR="00620434">
        <w:rPr>
          <w:rFonts w:asciiTheme="majorHAnsi" w:hAnsiTheme="majorHAnsi" w:cstheme="majorHAnsi"/>
          <w:lang w:val="en"/>
        </w:rPr>
        <w:t xml:space="preserve"> (in addition to the variability of each metric). </w:t>
      </w:r>
      <w:r w:rsidR="005F57AD">
        <w:rPr>
          <w:rFonts w:asciiTheme="majorHAnsi" w:hAnsiTheme="majorHAnsi" w:cstheme="majorHAnsi"/>
          <w:lang w:val="en"/>
        </w:rPr>
        <w:t>To illustrate</w:t>
      </w:r>
      <w:r w:rsidR="002D7528">
        <w:rPr>
          <w:rFonts w:asciiTheme="majorHAnsi" w:hAnsiTheme="majorHAnsi" w:cstheme="majorHAnsi"/>
          <w:lang w:val="en"/>
        </w:rPr>
        <w:t>, the median percentage sales error</w:t>
      </w:r>
      <w:r w:rsidR="005F57AD">
        <w:rPr>
          <w:rFonts w:asciiTheme="majorHAnsi" w:hAnsiTheme="majorHAnsi" w:cstheme="majorHAnsi"/>
          <w:lang w:val="en"/>
        </w:rPr>
        <w:t xml:space="preserve"> and the MAPE</w:t>
      </w:r>
      <w:r w:rsidR="002D7528">
        <w:rPr>
          <w:rFonts w:asciiTheme="majorHAnsi" w:hAnsiTheme="majorHAnsi" w:cstheme="majorHAnsi"/>
          <w:lang w:val="en"/>
        </w:rPr>
        <w:t xml:space="preserve"> have </w:t>
      </w:r>
      <w:r w:rsidR="005F57AD">
        <w:rPr>
          <w:rFonts w:asciiTheme="majorHAnsi" w:hAnsiTheme="majorHAnsi" w:cstheme="majorHAnsi"/>
          <w:lang w:val="en"/>
        </w:rPr>
        <w:t>similar</w:t>
      </w:r>
      <w:r w:rsidR="002D7528">
        <w:rPr>
          <w:rFonts w:asciiTheme="majorHAnsi" w:hAnsiTheme="majorHAnsi" w:cstheme="majorHAnsi"/>
          <w:lang w:val="en"/>
        </w:rPr>
        <w:t xml:space="preserve"> standard deviation</w:t>
      </w:r>
      <w:r w:rsidR="005F57AD">
        <w:rPr>
          <w:rFonts w:asciiTheme="majorHAnsi" w:hAnsiTheme="majorHAnsi" w:cstheme="majorHAnsi"/>
          <w:lang w:val="en"/>
        </w:rPr>
        <w:t>s</w:t>
      </w:r>
      <w:r w:rsidR="00E80BD7">
        <w:rPr>
          <w:rFonts w:asciiTheme="majorHAnsi" w:hAnsiTheme="majorHAnsi" w:cstheme="majorHAnsi"/>
          <w:lang w:val="en"/>
        </w:rPr>
        <w:t xml:space="preserve"> (0.08 and 0.0</w:t>
      </w:r>
      <w:r w:rsidR="005F57AD">
        <w:rPr>
          <w:rFonts w:asciiTheme="majorHAnsi" w:hAnsiTheme="majorHAnsi" w:cstheme="majorHAnsi"/>
          <w:lang w:val="en"/>
        </w:rPr>
        <w:t>9</w:t>
      </w:r>
      <w:r w:rsidR="002D7528">
        <w:rPr>
          <w:rFonts w:asciiTheme="majorHAnsi" w:hAnsiTheme="majorHAnsi" w:cstheme="majorHAnsi"/>
          <w:lang w:val="en"/>
        </w:rPr>
        <w:t>, respectively), however the</w:t>
      </w:r>
      <w:r w:rsidR="005F57AD">
        <w:rPr>
          <w:rFonts w:asciiTheme="majorHAnsi" w:hAnsiTheme="majorHAnsi" w:cstheme="majorHAnsi"/>
          <w:lang w:val="en"/>
        </w:rPr>
        <w:t xml:space="preserve"> MAPE</w:t>
      </w:r>
      <w:r w:rsidR="002D7528">
        <w:rPr>
          <w:rFonts w:asciiTheme="majorHAnsi" w:hAnsiTheme="majorHAnsi" w:cstheme="majorHAnsi"/>
          <w:lang w:val="en"/>
        </w:rPr>
        <w:t xml:space="preserve"> receives a </w:t>
      </w:r>
      <w:r w:rsidR="00E80BD7">
        <w:rPr>
          <w:rFonts w:asciiTheme="majorHAnsi" w:hAnsiTheme="majorHAnsi" w:cstheme="majorHAnsi"/>
          <w:lang w:val="en"/>
        </w:rPr>
        <w:t>5.3</w:t>
      </w:r>
      <w:r w:rsidR="003E78D3">
        <w:rPr>
          <w:rFonts w:asciiTheme="majorHAnsi" w:hAnsiTheme="majorHAnsi" w:cstheme="majorHAnsi"/>
          <w:lang w:val="en"/>
        </w:rPr>
        <w:t xml:space="preserve"> percent</w:t>
      </w:r>
      <w:r w:rsidR="00E80BD7">
        <w:rPr>
          <w:rFonts w:asciiTheme="majorHAnsi" w:hAnsiTheme="majorHAnsi" w:cstheme="majorHAnsi"/>
          <w:lang w:val="en"/>
        </w:rPr>
        <w:t xml:space="preserve"> </w:t>
      </w:r>
      <w:r w:rsidR="005F57AD">
        <w:rPr>
          <w:rFonts w:asciiTheme="majorHAnsi" w:hAnsiTheme="majorHAnsi" w:cstheme="majorHAnsi"/>
          <w:lang w:val="en"/>
        </w:rPr>
        <w:t xml:space="preserve">normalized </w:t>
      </w:r>
      <w:r w:rsidR="008775D3">
        <w:rPr>
          <w:rFonts w:asciiTheme="majorHAnsi" w:hAnsiTheme="majorHAnsi" w:cstheme="majorHAnsi"/>
          <w:lang w:val="en"/>
        </w:rPr>
        <w:t xml:space="preserve">AVM-ES </w:t>
      </w:r>
      <w:r w:rsidR="002D7528">
        <w:rPr>
          <w:rFonts w:asciiTheme="majorHAnsi" w:hAnsiTheme="majorHAnsi" w:cstheme="majorHAnsi"/>
          <w:lang w:val="en"/>
        </w:rPr>
        <w:t>weight</w:t>
      </w:r>
      <w:r w:rsidR="005F57AD">
        <w:rPr>
          <w:rFonts w:asciiTheme="majorHAnsi" w:hAnsiTheme="majorHAnsi" w:cstheme="majorHAnsi"/>
          <w:lang w:val="en"/>
        </w:rPr>
        <w:t>, which is nearly twic</w:t>
      </w:r>
      <w:r w:rsidR="00E80BD7">
        <w:rPr>
          <w:rFonts w:asciiTheme="majorHAnsi" w:hAnsiTheme="majorHAnsi" w:cstheme="majorHAnsi"/>
          <w:lang w:val="en"/>
        </w:rPr>
        <w:t>e as large as the weight of 2.8</w:t>
      </w:r>
      <w:r w:rsidR="003E78D3">
        <w:rPr>
          <w:rFonts w:asciiTheme="majorHAnsi" w:hAnsiTheme="majorHAnsi" w:cstheme="majorHAnsi"/>
          <w:lang w:val="en"/>
        </w:rPr>
        <w:t xml:space="preserve"> percent</w:t>
      </w:r>
      <w:r w:rsidR="00C900FF">
        <w:rPr>
          <w:rFonts w:asciiTheme="majorHAnsi" w:hAnsiTheme="majorHAnsi" w:cstheme="majorHAnsi"/>
          <w:lang w:val="en"/>
        </w:rPr>
        <w:t xml:space="preserve"> </w:t>
      </w:r>
      <w:r w:rsidR="005F57AD">
        <w:rPr>
          <w:rFonts w:asciiTheme="majorHAnsi" w:hAnsiTheme="majorHAnsi" w:cstheme="majorHAnsi"/>
          <w:lang w:val="en"/>
        </w:rPr>
        <w:t xml:space="preserve">assigned by the AVM-ES to </w:t>
      </w:r>
      <w:r w:rsidR="002D7528">
        <w:rPr>
          <w:rFonts w:asciiTheme="majorHAnsi" w:hAnsiTheme="majorHAnsi" w:cstheme="majorHAnsi"/>
          <w:lang w:val="en"/>
        </w:rPr>
        <w:t xml:space="preserve">the median percentage sales error. </w:t>
      </w:r>
      <w:r w:rsidR="009F1771">
        <w:rPr>
          <w:rFonts w:asciiTheme="majorHAnsi" w:hAnsiTheme="majorHAnsi" w:cstheme="majorHAnsi"/>
          <w:lang w:val="en"/>
        </w:rPr>
        <w:t xml:space="preserve"> </w:t>
      </w:r>
      <w:r w:rsidR="003B0105">
        <w:t xml:space="preserve">Lastly, the </w:t>
      </w:r>
      <w:r w:rsidR="00286E51">
        <w:t xml:space="preserve">AVM-ES </w:t>
      </w:r>
      <w:r w:rsidR="003B0105">
        <w:t xml:space="preserve">weights in </w:t>
      </w:r>
      <w:r>
        <w:t>Exhibit</w:t>
      </w:r>
      <w:r w:rsidR="003B0105">
        <w:t xml:space="preserve"> </w:t>
      </w:r>
      <w:r w:rsidR="009A4A34">
        <w:t>5</w:t>
      </w:r>
      <w:r w:rsidR="003B0105">
        <w:t xml:space="preserve"> are data dependent, meaning that any change to the dataset (the </w:t>
      </w:r>
      <w:r w:rsidR="00FB55EB">
        <w:rPr>
          <w:rFonts w:cstheme="minorHAnsi"/>
        </w:rPr>
        <w:t xml:space="preserve">455,563 </w:t>
      </w:r>
      <w:r w:rsidR="001526CE">
        <w:t>sales</w:t>
      </w:r>
      <w:r w:rsidR="003B0105">
        <w:t>)</w:t>
      </w:r>
      <w:r w:rsidR="00B72392">
        <w:t>, the sampling unit (AVM-by-FSDs)</w:t>
      </w:r>
      <w:r w:rsidR="003B0105">
        <w:t xml:space="preserve"> or the set of AVM Performance Metrics, would </w:t>
      </w:r>
      <w:r w:rsidR="00286E51">
        <w:t>produce a different set of</w:t>
      </w:r>
      <w:r w:rsidR="003B0105">
        <w:t xml:space="preserve"> weights</w:t>
      </w:r>
      <w:r w:rsidR="00620434">
        <w:t xml:space="preserve">.  </w:t>
      </w:r>
    </w:p>
    <w:p w14:paraId="6662596A" w14:textId="5D34E2EB" w:rsidR="001F711A" w:rsidRDefault="00374398" w:rsidP="00040DD3">
      <w:pPr>
        <w:tabs>
          <w:tab w:val="num" w:pos="720"/>
        </w:tabs>
        <w:spacing w:before="240" w:line="360" w:lineRule="auto"/>
        <w:ind w:firstLine="0"/>
        <w:jc w:val="both"/>
        <w:rPr>
          <w:rFonts w:asciiTheme="majorHAnsi" w:hAnsiTheme="majorHAnsi" w:cstheme="majorHAnsi"/>
          <w:lang w:val="en"/>
        </w:rPr>
      </w:pPr>
      <w:r w:rsidRPr="00DE1DC1">
        <w:rPr>
          <w:rFonts w:asciiTheme="majorHAnsi" w:hAnsiTheme="majorHAnsi" w:cstheme="majorHAnsi"/>
          <w:lang w:val="en"/>
        </w:rPr>
        <w:t xml:space="preserve">Exhibit </w:t>
      </w:r>
      <w:r w:rsidR="008F5B7E" w:rsidRPr="00DE1DC1">
        <w:rPr>
          <w:rFonts w:asciiTheme="majorHAnsi" w:hAnsiTheme="majorHAnsi" w:cstheme="majorHAnsi"/>
          <w:lang w:val="en"/>
        </w:rPr>
        <w:t>6</w:t>
      </w:r>
      <w:r>
        <w:rPr>
          <w:rFonts w:asciiTheme="majorHAnsi" w:hAnsiTheme="majorHAnsi" w:cstheme="majorHAnsi"/>
          <w:lang w:val="en"/>
        </w:rPr>
        <w:t xml:space="preserve"> shows the values of the AVM Performance Metrics for the five </w:t>
      </w:r>
      <w:r w:rsidR="00974165">
        <w:rPr>
          <w:rFonts w:asciiTheme="majorHAnsi" w:hAnsiTheme="majorHAnsi" w:cstheme="majorHAnsi"/>
          <w:lang w:val="en"/>
        </w:rPr>
        <w:t xml:space="preserve">top-performing </w:t>
      </w:r>
      <w:r>
        <w:rPr>
          <w:rFonts w:asciiTheme="majorHAnsi" w:hAnsiTheme="majorHAnsi" w:cstheme="majorHAnsi"/>
          <w:lang w:val="en"/>
        </w:rPr>
        <w:t>AVM/FSD combinations</w:t>
      </w:r>
      <w:r w:rsidR="00D7591E" w:rsidRPr="00D7591E">
        <w:rPr>
          <w:rFonts w:asciiTheme="majorHAnsi" w:hAnsiTheme="majorHAnsi" w:cstheme="majorHAnsi"/>
          <w:lang w:val="en"/>
        </w:rPr>
        <w:t xml:space="preserve"> </w:t>
      </w:r>
      <w:r w:rsidR="00D7591E">
        <w:rPr>
          <w:rFonts w:asciiTheme="majorHAnsi" w:hAnsiTheme="majorHAnsi" w:cstheme="majorHAnsi"/>
          <w:lang w:val="en"/>
        </w:rPr>
        <w:t xml:space="preserve">in the </w:t>
      </w:r>
      <w:r w:rsidR="00A0724C">
        <w:rPr>
          <w:rFonts w:asciiTheme="majorHAnsi" w:hAnsiTheme="majorHAnsi" w:cstheme="majorHAnsi"/>
          <w:lang w:val="en"/>
        </w:rPr>
        <w:t>E</w:t>
      </w:r>
      <w:r w:rsidR="00FF0B02">
        <w:rPr>
          <w:rFonts w:asciiTheme="majorHAnsi" w:hAnsiTheme="majorHAnsi" w:cstheme="majorHAnsi"/>
          <w:lang w:val="en"/>
        </w:rPr>
        <w:t xml:space="preserve">xpanded </w:t>
      </w:r>
      <w:r w:rsidR="00D7591E">
        <w:rPr>
          <w:rFonts w:asciiTheme="majorHAnsi" w:hAnsiTheme="majorHAnsi" w:cstheme="majorHAnsi"/>
          <w:lang w:val="en"/>
        </w:rPr>
        <w:t>AVM-by-FSD analysis</w:t>
      </w:r>
      <w:r w:rsidR="00DE6BB2">
        <w:rPr>
          <w:rFonts w:asciiTheme="majorHAnsi" w:hAnsiTheme="majorHAnsi" w:cstheme="majorHAnsi"/>
          <w:lang w:val="en"/>
        </w:rPr>
        <w:t xml:space="preserve"> of the 367 AVM/FSD combinations</w:t>
      </w:r>
      <w:r>
        <w:rPr>
          <w:rFonts w:asciiTheme="majorHAnsi" w:hAnsiTheme="majorHAnsi" w:cstheme="majorHAnsi"/>
          <w:lang w:val="en"/>
        </w:rPr>
        <w:t>. All five come from the same</w:t>
      </w:r>
      <w:r w:rsidR="008662FD">
        <w:rPr>
          <w:rFonts w:asciiTheme="majorHAnsi" w:hAnsiTheme="majorHAnsi" w:cstheme="majorHAnsi"/>
          <w:lang w:val="en"/>
        </w:rPr>
        <w:t xml:space="preserve"> AVM:</w:t>
      </w:r>
      <w:r>
        <w:rPr>
          <w:rFonts w:asciiTheme="majorHAnsi" w:hAnsiTheme="majorHAnsi" w:cstheme="majorHAnsi"/>
          <w:lang w:val="en"/>
        </w:rPr>
        <w:t xml:space="preserve"> Model 6.</w:t>
      </w:r>
      <w:r w:rsidR="00D7591E">
        <w:rPr>
          <w:rFonts w:asciiTheme="majorHAnsi" w:hAnsiTheme="majorHAnsi" w:cstheme="majorHAnsi"/>
          <w:lang w:val="en"/>
        </w:rPr>
        <w:t xml:space="preserve"> </w:t>
      </w:r>
      <w:r w:rsidR="00075D2F">
        <w:rPr>
          <w:rFonts w:asciiTheme="majorHAnsi" w:hAnsiTheme="majorHAnsi" w:cstheme="majorHAnsi"/>
          <w:lang w:val="en"/>
        </w:rPr>
        <w:t>The best performing AVM/FSD combination</w:t>
      </w:r>
      <w:r w:rsidR="00DE6BB2">
        <w:rPr>
          <w:rFonts w:asciiTheme="majorHAnsi" w:hAnsiTheme="majorHAnsi" w:cstheme="majorHAnsi"/>
          <w:lang w:val="en"/>
        </w:rPr>
        <w:t>, according to the AVM-ES,</w:t>
      </w:r>
      <w:r w:rsidR="007B6014">
        <w:rPr>
          <w:rFonts w:asciiTheme="majorHAnsi" w:hAnsiTheme="majorHAnsi" w:cstheme="majorHAnsi"/>
          <w:lang w:val="en"/>
        </w:rPr>
        <w:t xml:space="preserve"> </w:t>
      </w:r>
      <w:r w:rsidR="00075D2F">
        <w:rPr>
          <w:rFonts w:asciiTheme="majorHAnsi" w:hAnsiTheme="majorHAnsi" w:cstheme="majorHAnsi"/>
          <w:lang w:val="en"/>
        </w:rPr>
        <w:t>is Model 6</w:t>
      </w:r>
      <w:r w:rsidR="00FF0B02">
        <w:rPr>
          <w:rFonts w:asciiTheme="majorHAnsi" w:hAnsiTheme="majorHAnsi" w:cstheme="majorHAnsi"/>
          <w:lang w:val="en"/>
        </w:rPr>
        <w:t xml:space="preserve">, </w:t>
      </w:r>
      <w:r w:rsidR="00393D6C">
        <w:rPr>
          <w:rFonts w:asciiTheme="majorHAnsi" w:hAnsiTheme="majorHAnsi" w:cstheme="majorHAnsi"/>
          <w:lang w:val="en"/>
        </w:rPr>
        <w:t>FSD 4</w:t>
      </w:r>
      <w:r w:rsidR="00075D2F">
        <w:rPr>
          <w:rFonts w:asciiTheme="majorHAnsi" w:hAnsiTheme="majorHAnsi" w:cstheme="majorHAnsi"/>
          <w:lang w:val="en"/>
        </w:rPr>
        <w:t>; its AVM</w:t>
      </w:r>
      <w:r w:rsidR="008662FD">
        <w:rPr>
          <w:rFonts w:asciiTheme="majorHAnsi" w:hAnsiTheme="majorHAnsi" w:cstheme="majorHAnsi"/>
          <w:lang w:val="en"/>
        </w:rPr>
        <w:t>-ES</w:t>
      </w:r>
      <w:r w:rsidR="00DE6BB2">
        <w:rPr>
          <w:rFonts w:asciiTheme="majorHAnsi" w:hAnsiTheme="majorHAnsi" w:cstheme="majorHAnsi"/>
          <w:lang w:val="en"/>
        </w:rPr>
        <w:t xml:space="preserve"> value</w:t>
      </w:r>
      <w:r w:rsidR="008662FD">
        <w:rPr>
          <w:rFonts w:asciiTheme="majorHAnsi" w:hAnsiTheme="majorHAnsi" w:cstheme="majorHAnsi"/>
          <w:lang w:val="en"/>
        </w:rPr>
        <w:t xml:space="preserve"> is 0.1247. </w:t>
      </w:r>
      <w:r w:rsidR="00393D6C">
        <w:rPr>
          <w:rFonts w:asciiTheme="majorHAnsi" w:hAnsiTheme="majorHAnsi" w:cstheme="majorHAnsi"/>
          <w:lang w:val="en"/>
        </w:rPr>
        <w:t xml:space="preserve">The worst performing is </w:t>
      </w:r>
      <w:r w:rsidR="00393D6C" w:rsidRPr="00DB5765">
        <w:rPr>
          <w:rFonts w:asciiTheme="majorHAnsi" w:hAnsiTheme="majorHAnsi" w:cstheme="majorHAnsi"/>
          <w:lang w:val="en"/>
        </w:rPr>
        <w:t>Model 1</w:t>
      </w:r>
      <w:r w:rsidR="00DB5765" w:rsidRPr="00DB5765">
        <w:rPr>
          <w:rFonts w:asciiTheme="majorHAnsi" w:hAnsiTheme="majorHAnsi" w:cstheme="majorHAnsi"/>
          <w:lang w:val="en"/>
        </w:rPr>
        <w:t>3</w:t>
      </w:r>
      <w:r w:rsidR="009F1771" w:rsidRPr="00DB5765">
        <w:rPr>
          <w:rFonts w:asciiTheme="majorHAnsi" w:hAnsiTheme="majorHAnsi" w:cstheme="majorHAnsi"/>
          <w:lang w:val="en"/>
        </w:rPr>
        <w:t xml:space="preserve">, </w:t>
      </w:r>
      <w:r w:rsidR="00393D6C" w:rsidRPr="00DB5765">
        <w:rPr>
          <w:rFonts w:asciiTheme="majorHAnsi" w:hAnsiTheme="majorHAnsi" w:cstheme="majorHAnsi"/>
          <w:lang w:val="en"/>
        </w:rPr>
        <w:t xml:space="preserve">FSD </w:t>
      </w:r>
      <w:r w:rsidR="00075D2F" w:rsidRPr="00DB5765">
        <w:rPr>
          <w:rFonts w:asciiTheme="majorHAnsi" w:hAnsiTheme="majorHAnsi" w:cstheme="majorHAnsi"/>
          <w:lang w:val="en"/>
        </w:rPr>
        <w:t>36;</w:t>
      </w:r>
      <w:r w:rsidR="00075D2F">
        <w:rPr>
          <w:rFonts w:asciiTheme="majorHAnsi" w:hAnsiTheme="majorHAnsi" w:cstheme="majorHAnsi"/>
          <w:lang w:val="en"/>
        </w:rPr>
        <w:t xml:space="preserve"> its AVM-ES</w:t>
      </w:r>
      <w:r w:rsidR="00DE6BB2">
        <w:rPr>
          <w:rFonts w:asciiTheme="majorHAnsi" w:hAnsiTheme="majorHAnsi" w:cstheme="majorHAnsi"/>
          <w:lang w:val="en"/>
        </w:rPr>
        <w:t xml:space="preserve"> value</w:t>
      </w:r>
      <w:r w:rsidR="00075D2F">
        <w:rPr>
          <w:rFonts w:asciiTheme="majorHAnsi" w:hAnsiTheme="majorHAnsi" w:cstheme="majorHAnsi"/>
          <w:lang w:val="en"/>
        </w:rPr>
        <w:t xml:space="preserve"> is 2.651 (primarily because it poorly valued only two properties). </w:t>
      </w:r>
      <w:r w:rsidR="00A72CDF">
        <w:rPr>
          <w:rFonts w:asciiTheme="majorHAnsi" w:hAnsiTheme="majorHAnsi" w:cstheme="majorHAnsi"/>
          <w:lang w:val="en"/>
        </w:rPr>
        <w:t xml:space="preserve">It is noteworthy that </w:t>
      </w:r>
      <w:r w:rsidR="004154AE" w:rsidRPr="00DE1DC1">
        <w:rPr>
          <w:rFonts w:asciiTheme="majorHAnsi" w:hAnsiTheme="majorHAnsi" w:cstheme="majorHAnsi"/>
          <w:lang w:val="en"/>
        </w:rPr>
        <w:t>Exhibit</w:t>
      </w:r>
      <w:r w:rsidR="00113E26" w:rsidRPr="00DE1DC1">
        <w:rPr>
          <w:rFonts w:asciiTheme="majorHAnsi" w:hAnsiTheme="majorHAnsi" w:cstheme="majorHAnsi"/>
          <w:lang w:val="en"/>
        </w:rPr>
        <w:t xml:space="preserve"> </w:t>
      </w:r>
      <w:r w:rsidR="008F5B7E" w:rsidRPr="00DE1DC1">
        <w:rPr>
          <w:rFonts w:asciiTheme="majorHAnsi" w:hAnsiTheme="majorHAnsi" w:cstheme="majorHAnsi"/>
          <w:lang w:val="en"/>
        </w:rPr>
        <w:t>6</w:t>
      </w:r>
      <w:r w:rsidR="008662FD" w:rsidRPr="00DE1DC1">
        <w:rPr>
          <w:rFonts w:asciiTheme="majorHAnsi" w:hAnsiTheme="majorHAnsi" w:cstheme="majorHAnsi"/>
          <w:lang w:val="en"/>
        </w:rPr>
        <w:t xml:space="preserve"> </w:t>
      </w:r>
      <w:r w:rsidR="00A72CDF" w:rsidRPr="00DE1DC1">
        <w:rPr>
          <w:rFonts w:asciiTheme="majorHAnsi" w:hAnsiTheme="majorHAnsi" w:cstheme="majorHAnsi"/>
          <w:lang w:val="en"/>
        </w:rPr>
        <w:t>show</w:t>
      </w:r>
      <w:r w:rsidR="004C7911" w:rsidRPr="00DE1DC1">
        <w:rPr>
          <w:rFonts w:asciiTheme="majorHAnsi" w:hAnsiTheme="majorHAnsi" w:cstheme="majorHAnsi"/>
          <w:lang w:val="en"/>
        </w:rPr>
        <w:t>s</w:t>
      </w:r>
      <w:r w:rsidR="008662FD">
        <w:rPr>
          <w:rFonts w:asciiTheme="majorHAnsi" w:hAnsiTheme="majorHAnsi" w:cstheme="majorHAnsi"/>
          <w:lang w:val="en"/>
        </w:rPr>
        <w:t xml:space="preserve"> that Model 6</w:t>
      </w:r>
      <w:r w:rsidR="0086558E">
        <w:rPr>
          <w:rFonts w:asciiTheme="majorHAnsi" w:hAnsiTheme="majorHAnsi" w:cstheme="majorHAnsi"/>
          <w:lang w:val="en"/>
        </w:rPr>
        <w:t>,</w:t>
      </w:r>
      <w:r w:rsidR="00FF0B02">
        <w:rPr>
          <w:rFonts w:asciiTheme="majorHAnsi" w:hAnsiTheme="majorHAnsi" w:cstheme="majorHAnsi"/>
          <w:lang w:val="en"/>
        </w:rPr>
        <w:t xml:space="preserve"> </w:t>
      </w:r>
      <w:r w:rsidR="00113E26">
        <w:rPr>
          <w:rFonts w:asciiTheme="majorHAnsi" w:hAnsiTheme="majorHAnsi" w:cstheme="majorHAnsi"/>
          <w:lang w:val="en"/>
        </w:rPr>
        <w:t xml:space="preserve">FSD 3 is </w:t>
      </w:r>
      <w:r w:rsidR="00974165">
        <w:rPr>
          <w:rFonts w:asciiTheme="majorHAnsi" w:hAnsiTheme="majorHAnsi" w:cstheme="majorHAnsi"/>
          <w:lang w:val="en"/>
        </w:rPr>
        <w:t>top-</w:t>
      </w:r>
      <w:r w:rsidR="00113E26">
        <w:rPr>
          <w:rFonts w:asciiTheme="majorHAnsi" w:hAnsiTheme="majorHAnsi" w:cstheme="majorHAnsi"/>
          <w:lang w:val="en"/>
        </w:rPr>
        <w:t>performing</w:t>
      </w:r>
      <w:r w:rsidR="00F01A5D">
        <w:rPr>
          <w:rFonts w:asciiTheme="majorHAnsi" w:hAnsiTheme="majorHAnsi" w:cstheme="majorHAnsi"/>
          <w:lang w:val="en"/>
        </w:rPr>
        <w:t xml:space="preserve"> for eight of the </w:t>
      </w:r>
      <w:r w:rsidR="00182232">
        <w:rPr>
          <w:rFonts w:asciiTheme="majorHAnsi" w:hAnsiTheme="majorHAnsi" w:cstheme="majorHAnsi"/>
          <w:lang w:val="en"/>
        </w:rPr>
        <w:t>eleven</w:t>
      </w:r>
      <w:r w:rsidR="00F01A5D">
        <w:rPr>
          <w:rFonts w:asciiTheme="majorHAnsi" w:hAnsiTheme="majorHAnsi" w:cstheme="majorHAnsi"/>
          <w:lang w:val="en"/>
        </w:rPr>
        <w:t xml:space="preserve"> </w:t>
      </w:r>
      <w:r w:rsidR="001B7230">
        <w:rPr>
          <w:rFonts w:asciiTheme="majorHAnsi" w:hAnsiTheme="majorHAnsi" w:cstheme="majorHAnsi"/>
          <w:lang w:val="en"/>
        </w:rPr>
        <w:t xml:space="preserve">marginal </w:t>
      </w:r>
      <w:r w:rsidR="001E4434">
        <w:rPr>
          <w:rFonts w:asciiTheme="majorHAnsi" w:hAnsiTheme="majorHAnsi" w:cstheme="majorHAnsi"/>
          <w:lang w:val="en"/>
        </w:rPr>
        <w:t>metrics</w:t>
      </w:r>
      <w:r w:rsidR="001B7230">
        <w:rPr>
          <w:rFonts w:asciiTheme="majorHAnsi" w:hAnsiTheme="majorHAnsi" w:cstheme="majorHAnsi"/>
          <w:lang w:val="en"/>
        </w:rPr>
        <w:t xml:space="preserve"> (colored in green in </w:t>
      </w:r>
      <w:r w:rsidR="004154AE" w:rsidRPr="00DE1DC1">
        <w:rPr>
          <w:rFonts w:asciiTheme="majorHAnsi" w:hAnsiTheme="majorHAnsi" w:cstheme="majorHAnsi"/>
          <w:lang w:val="en"/>
        </w:rPr>
        <w:t>Exhibit</w:t>
      </w:r>
      <w:r w:rsidR="001B7230" w:rsidRPr="00DE1DC1">
        <w:rPr>
          <w:rFonts w:asciiTheme="majorHAnsi" w:hAnsiTheme="majorHAnsi" w:cstheme="majorHAnsi"/>
          <w:lang w:val="en"/>
        </w:rPr>
        <w:t xml:space="preserve"> </w:t>
      </w:r>
      <w:r w:rsidR="008F5B7E" w:rsidRPr="00DE1DC1">
        <w:rPr>
          <w:rFonts w:asciiTheme="majorHAnsi" w:hAnsiTheme="majorHAnsi" w:cstheme="majorHAnsi"/>
          <w:lang w:val="en"/>
        </w:rPr>
        <w:t>6</w:t>
      </w:r>
      <w:r w:rsidR="001B7230">
        <w:rPr>
          <w:rFonts w:asciiTheme="majorHAnsi" w:hAnsiTheme="majorHAnsi" w:cstheme="majorHAnsi"/>
          <w:lang w:val="en"/>
        </w:rPr>
        <w:t>)</w:t>
      </w:r>
      <w:r w:rsidR="00F01A5D">
        <w:rPr>
          <w:rFonts w:asciiTheme="majorHAnsi" w:hAnsiTheme="majorHAnsi" w:cstheme="majorHAnsi"/>
          <w:lang w:val="en"/>
        </w:rPr>
        <w:t xml:space="preserve">, </w:t>
      </w:r>
      <w:r w:rsidR="00910FF3">
        <w:rPr>
          <w:rFonts w:asciiTheme="majorHAnsi" w:hAnsiTheme="majorHAnsi" w:cstheme="majorHAnsi"/>
          <w:lang w:val="en"/>
        </w:rPr>
        <w:t>yet</w:t>
      </w:r>
      <w:r w:rsidR="00F01A5D">
        <w:rPr>
          <w:rFonts w:asciiTheme="majorHAnsi" w:hAnsiTheme="majorHAnsi" w:cstheme="majorHAnsi"/>
          <w:lang w:val="en"/>
        </w:rPr>
        <w:t xml:space="preserve"> it </w:t>
      </w:r>
      <w:r w:rsidR="001071C5">
        <w:rPr>
          <w:rFonts w:asciiTheme="majorHAnsi" w:hAnsiTheme="majorHAnsi" w:cstheme="majorHAnsi"/>
          <w:lang w:val="en"/>
        </w:rPr>
        <w:t>finishes</w:t>
      </w:r>
      <w:r w:rsidR="00F01A5D">
        <w:rPr>
          <w:rFonts w:asciiTheme="majorHAnsi" w:hAnsiTheme="majorHAnsi" w:cstheme="majorHAnsi"/>
          <w:lang w:val="en"/>
        </w:rPr>
        <w:t xml:space="preserve"> fourth best</w:t>
      </w:r>
      <w:r w:rsidR="001071C5">
        <w:rPr>
          <w:rFonts w:asciiTheme="majorHAnsi" w:hAnsiTheme="majorHAnsi" w:cstheme="majorHAnsi"/>
          <w:lang w:val="en"/>
        </w:rPr>
        <w:t xml:space="preserve"> overall</w:t>
      </w:r>
      <w:r w:rsidR="001B7230">
        <w:rPr>
          <w:rFonts w:asciiTheme="majorHAnsi" w:hAnsiTheme="majorHAnsi" w:cstheme="majorHAnsi"/>
          <w:lang w:val="en"/>
        </w:rPr>
        <w:t>,</w:t>
      </w:r>
      <w:r w:rsidR="00F01A5D">
        <w:rPr>
          <w:rFonts w:asciiTheme="majorHAnsi" w:hAnsiTheme="majorHAnsi" w:cstheme="majorHAnsi"/>
          <w:lang w:val="en"/>
        </w:rPr>
        <w:t xml:space="preserve"> due to </w:t>
      </w:r>
      <w:r w:rsidR="00817410">
        <w:rPr>
          <w:rFonts w:asciiTheme="majorHAnsi" w:hAnsiTheme="majorHAnsi" w:cstheme="majorHAnsi"/>
          <w:lang w:val="en"/>
        </w:rPr>
        <w:t>it</w:t>
      </w:r>
      <w:r w:rsidR="00A72CDF">
        <w:rPr>
          <w:rFonts w:asciiTheme="majorHAnsi" w:hAnsiTheme="majorHAnsi" w:cstheme="majorHAnsi"/>
          <w:lang w:val="en"/>
        </w:rPr>
        <w:t>s</w:t>
      </w:r>
      <w:r w:rsidR="00817410">
        <w:rPr>
          <w:rFonts w:asciiTheme="majorHAnsi" w:hAnsiTheme="majorHAnsi" w:cstheme="majorHAnsi"/>
          <w:lang w:val="en"/>
        </w:rPr>
        <w:t xml:space="preserve"> </w:t>
      </w:r>
      <w:r w:rsidR="00F01A5D">
        <w:rPr>
          <w:rFonts w:asciiTheme="majorHAnsi" w:hAnsiTheme="majorHAnsi" w:cstheme="majorHAnsi"/>
          <w:lang w:val="en"/>
        </w:rPr>
        <w:t>performing relatively poorly (compare</w:t>
      </w:r>
      <w:r w:rsidR="0085090A">
        <w:rPr>
          <w:rFonts w:asciiTheme="majorHAnsi" w:hAnsiTheme="majorHAnsi" w:cstheme="majorHAnsi"/>
          <w:lang w:val="en"/>
        </w:rPr>
        <w:t>d</w:t>
      </w:r>
      <w:r w:rsidR="00F01A5D">
        <w:rPr>
          <w:rFonts w:asciiTheme="majorHAnsi" w:hAnsiTheme="majorHAnsi" w:cstheme="majorHAnsi"/>
          <w:lang w:val="en"/>
        </w:rPr>
        <w:t xml:space="preserve"> to the other top AVM/FSD combination</w:t>
      </w:r>
      <w:r w:rsidR="001071C5">
        <w:rPr>
          <w:rFonts w:asciiTheme="majorHAnsi" w:hAnsiTheme="majorHAnsi" w:cstheme="majorHAnsi"/>
          <w:lang w:val="en"/>
        </w:rPr>
        <w:t>s</w:t>
      </w:r>
      <w:r w:rsidR="00F01A5D">
        <w:rPr>
          <w:rFonts w:asciiTheme="majorHAnsi" w:hAnsiTheme="majorHAnsi" w:cstheme="majorHAnsi"/>
          <w:lang w:val="en"/>
        </w:rPr>
        <w:t>)</w:t>
      </w:r>
      <w:r w:rsidR="003937D6">
        <w:rPr>
          <w:rFonts w:asciiTheme="majorHAnsi" w:hAnsiTheme="majorHAnsi" w:cstheme="majorHAnsi"/>
          <w:lang w:val="en"/>
        </w:rPr>
        <w:t xml:space="preserve"> for two </w:t>
      </w:r>
      <w:r w:rsidR="00910FF3">
        <w:rPr>
          <w:rFonts w:asciiTheme="majorHAnsi" w:hAnsiTheme="majorHAnsi" w:cstheme="majorHAnsi"/>
          <w:lang w:val="en"/>
        </w:rPr>
        <w:t xml:space="preserve">metrics </w:t>
      </w:r>
      <w:r w:rsidR="003937D6">
        <w:rPr>
          <w:rFonts w:asciiTheme="majorHAnsi" w:hAnsiTheme="majorHAnsi" w:cstheme="majorHAnsi"/>
          <w:lang w:val="en"/>
        </w:rPr>
        <w:t xml:space="preserve">(Mean Percentage </w:t>
      </w:r>
      <w:r w:rsidR="00AA32A1">
        <w:rPr>
          <w:rFonts w:asciiTheme="majorHAnsi" w:hAnsiTheme="majorHAnsi" w:cstheme="majorHAnsi"/>
          <w:lang w:val="en"/>
        </w:rPr>
        <w:t xml:space="preserve">Sales </w:t>
      </w:r>
      <w:r w:rsidR="003937D6">
        <w:rPr>
          <w:rFonts w:asciiTheme="majorHAnsi" w:hAnsiTheme="majorHAnsi" w:cstheme="majorHAnsi"/>
          <w:lang w:val="en"/>
        </w:rPr>
        <w:t>Error and the +/- 1 FSD</w:t>
      </w:r>
      <w:r w:rsidR="00DB5D48">
        <w:rPr>
          <w:rFonts w:asciiTheme="majorHAnsi" w:hAnsiTheme="majorHAnsi" w:cstheme="majorHAnsi"/>
          <w:lang w:val="en"/>
        </w:rPr>
        <w:t xml:space="preserve"> metrics</w:t>
      </w:r>
      <w:r w:rsidR="003937D6">
        <w:rPr>
          <w:rFonts w:asciiTheme="majorHAnsi" w:hAnsiTheme="majorHAnsi" w:cstheme="majorHAnsi"/>
          <w:lang w:val="en"/>
        </w:rPr>
        <w:t>).</w:t>
      </w:r>
      <w:r w:rsidR="00AA32A1">
        <w:rPr>
          <w:rFonts w:asciiTheme="majorHAnsi" w:hAnsiTheme="majorHAnsi" w:cstheme="majorHAnsi"/>
          <w:lang w:val="en"/>
        </w:rPr>
        <w:t xml:space="preserve"> </w:t>
      </w:r>
      <w:r w:rsidR="00393D6C">
        <w:rPr>
          <w:rFonts w:asciiTheme="majorHAnsi" w:hAnsiTheme="majorHAnsi" w:cstheme="majorHAnsi"/>
          <w:lang w:val="en"/>
        </w:rPr>
        <w:t xml:space="preserve"> </w:t>
      </w:r>
    </w:p>
    <w:p w14:paraId="663D188A" w14:textId="23E79778" w:rsidR="003A4F3F" w:rsidRDefault="002E7A8A" w:rsidP="00040DD3">
      <w:pPr>
        <w:tabs>
          <w:tab w:val="num" w:pos="720"/>
        </w:tabs>
        <w:spacing w:before="240" w:after="240" w:line="360" w:lineRule="auto"/>
        <w:ind w:firstLine="0"/>
        <w:jc w:val="center"/>
        <w:rPr>
          <w:rFonts w:asciiTheme="majorHAnsi" w:hAnsiTheme="majorHAnsi" w:cstheme="majorHAnsi"/>
          <w:lang w:val="en"/>
        </w:rPr>
      </w:pPr>
      <w:r w:rsidRPr="00DE1DC1">
        <w:rPr>
          <w:rFonts w:asciiTheme="majorHAnsi" w:hAnsiTheme="majorHAnsi" w:cstheme="majorHAnsi"/>
        </w:rPr>
        <w:t xml:space="preserve">Exhibit </w:t>
      </w:r>
      <w:r w:rsidR="008F5B7E" w:rsidRPr="00DE1DC1">
        <w:rPr>
          <w:rFonts w:asciiTheme="majorHAnsi" w:hAnsiTheme="majorHAnsi" w:cstheme="majorHAnsi"/>
        </w:rPr>
        <w:t>6</w:t>
      </w:r>
      <w:r w:rsidR="003A4F3F">
        <w:rPr>
          <w:rFonts w:asciiTheme="majorHAnsi" w:hAnsiTheme="majorHAnsi" w:cstheme="majorHAnsi"/>
        </w:rPr>
        <w:t xml:space="preserve"> About Here</w:t>
      </w:r>
    </w:p>
    <w:p w14:paraId="33AE3AE2" w14:textId="69191E8B" w:rsidR="00714240" w:rsidRDefault="00F446AD" w:rsidP="006623AD">
      <w:pPr>
        <w:tabs>
          <w:tab w:val="num" w:pos="720"/>
        </w:tabs>
        <w:spacing w:before="240" w:line="360" w:lineRule="auto"/>
        <w:ind w:firstLine="0"/>
        <w:jc w:val="both"/>
        <w:rPr>
          <w:rFonts w:asciiTheme="majorHAnsi" w:hAnsiTheme="majorHAnsi" w:cstheme="majorHAnsi"/>
        </w:rPr>
      </w:pPr>
      <w:r>
        <w:t xml:space="preserve">A strength of the </w:t>
      </w:r>
      <w:r w:rsidR="00A0724C">
        <w:t>E</w:t>
      </w:r>
      <w:r w:rsidR="00FF0B02">
        <w:t xml:space="preserve">xpanded </w:t>
      </w:r>
      <w:r>
        <w:t xml:space="preserve">AVM-by-FSD analysis is that it can </w:t>
      </w:r>
      <w:r w:rsidR="00FF6E32">
        <w:t xml:space="preserve">evaluate </w:t>
      </w:r>
      <w:r>
        <w:t xml:space="preserve">the credibility of </w:t>
      </w:r>
      <w:r w:rsidR="008662FD">
        <w:t>the</w:t>
      </w:r>
      <w:r>
        <w:t xml:space="preserve"> valuations from a</w:t>
      </w:r>
      <w:r w:rsidR="009F1771">
        <w:t xml:space="preserve">ny one </w:t>
      </w:r>
      <w:r w:rsidR="008662FD">
        <w:t>AVM</w:t>
      </w:r>
      <w:r>
        <w:t>.  For example</w:t>
      </w:r>
      <w:r w:rsidRPr="00DE1DC1">
        <w:t xml:space="preserve">, </w:t>
      </w:r>
      <w:r w:rsidR="004154AE" w:rsidRPr="00DE1DC1">
        <w:rPr>
          <w:rFonts w:asciiTheme="majorHAnsi" w:hAnsiTheme="majorHAnsi" w:cstheme="majorHAnsi"/>
          <w:lang w:val="en"/>
        </w:rPr>
        <w:t>Exhibit</w:t>
      </w:r>
      <w:r w:rsidR="006623AD" w:rsidRPr="00DE1DC1">
        <w:rPr>
          <w:rFonts w:asciiTheme="majorHAnsi" w:hAnsiTheme="majorHAnsi" w:cstheme="majorHAnsi"/>
        </w:rPr>
        <w:t xml:space="preserve"> </w:t>
      </w:r>
      <w:r w:rsidR="00DE1DC1" w:rsidRPr="00DE1DC1">
        <w:rPr>
          <w:rFonts w:asciiTheme="majorHAnsi" w:hAnsiTheme="majorHAnsi" w:cstheme="majorHAnsi"/>
        </w:rPr>
        <w:t>7</w:t>
      </w:r>
      <w:r w:rsidR="00C1795C">
        <w:rPr>
          <w:rFonts w:asciiTheme="majorHAnsi" w:hAnsiTheme="majorHAnsi" w:cstheme="majorHAnsi"/>
        </w:rPr>
        <w:t xml:space="preserve"> </w:t>
      </w:r>
      <w:r w:rsidR="006623AD">
        <w:rPr>
          <w:rFonts w:asciiTheme="majorHAnsi" w:hAnsiTheme="majorHAnsi" w:cstheme="majorHAnsi"/>
        </w:rPr>
        <w:t xml:space="preserve">shows the </w:t>
      </w:r>
      <w:r w:rsidR="00AF755B">
        <w:rPr>
          <w:rFonts w:asciiTheme="majorHAnsi" w:hAnsiTheme="majorHAnsi" w:cstheme="majorHAnsi"/>
        </w:rPr>
        <w:t>AVM-ES</w:t>
      </w:r>
      <w:r w:rsidR="003E1913">
        <w:rPr>
          <w:rFonts w:asciiTheme="majorHAnsi" w:hAnsiTheme="majorHAnsi" w:cstheme="majorHAnsi"/>
        </w:rPr>
        <w:t xml:space="preserve"> values for the 18</w:t>
      </w:r>
      <w:r w:rsidR="006623AD">
        <w:rPr>
          <w:rFonts w:asciiTheme="majorHAnsi" w:hAnsiTheme="majorHAnsi" w:cstheme="majorHAnsi"/>
        </w:rPr>
        <w:t xml:space="preserve"> different </w:t>
      </w:r>
      <w:r w:rsidR="00151140">
        <w:rPr>
          <w:rFonts w:asciiTheme="majorHAnsi" w:hAnsiTheme="majorHAnsi" w:cstheme="majorHAnsi"/>
        </w:rPr>
        <w:t>vendor-reported</w:t>
      </w:r>
      <w:r w:rsidR="006623AD">
        <w:rPr>
          <w:rFonts w:asciiTheme="majorHAnsi" w:hAnsiTheme="majorHAnsi" w:cstheme="majorHAnsi"/>
        </w:rPr>
        <w:t xml:space="preserve"> FSDs for only Model 15. </w:t>
      </w:r>
      <w:r w:rsidR="009F1771">
        <w:rPr>
          <w:rFonts w:asciiTheme="majorHAnsi" w:hAnsiTheme="majorHAnsi" w:cstheme="majorHAnsi"/>
        </w:rPr>
        <w:t xml:space="preserve"> </w:t>
      </w:r>
      <w:r w:rsidR="006623AD">
        <w:rPr>
          <w:rFonts w:asciiTheme="majorHAnsi" w:hAnsiTheme="majorHAnsi" w:cstheme="majorHAnsi"/>
        </w:rPr>
        <w:t xml:space="preserve">Model 15 performs best </w:t>
      </w:r>
      <w:r w:rsidR="00B47926">
        <w:rPr>
          <w:rFonts w:asciiTheme="majorHAnsi" w:hAnsiTheme="majorHAnsi" w:cstheme="majorHAnsi"/>
        </w:rPr>
        <w:t>at</w:t>
      </w:r>
      <w:r w:rsidR="006623AD">
        <w:rPr>
          <w:rFonts w:asciiTheme="majorHAnsi" w:hAnsiTheme="majorHAnsi" w:cstheme="majorHAnsi"/>
        </w:rPr>
        <w:t xml:space="preserve"> a</w:t>
      </w:r>
      <w:r w:rsidR="004458D6">
        <w:rPr>
          <w:rFonts w:asciiTheme="majorHAnsi" w:hAnsiTheme="majorHAnsi" w:cstheme="majorHAnsi"/>
        </w:rPr>
        <w:t xml:space="preserve"> vendor-reported</w:t>
      </w:r>
      <w:r w:rsidR="006623AD">
        <w:rPr>
          <w:rFonts w:asciiTheme="majorHAnsi" w:hAnsiTheme="majorHAnsi" w:cstheme="majorHAnsi"/>
        </w:rPr>
        <w:t xml:space="preserve"> FSD of 7 (</w:t>
      </w:r>
      <w:r w:rsidR="00AF755B">
        <w:rPr>
          <w:rFonts w:asciiTheme="majorHAnsi" w:hAnsiTheme="majorHAnsi" w:cstheme="majorHAnsi"/>
        </w:rPr>
        <w:t>AVM-ES</w:t>
      </w:r>
      <w:r w:rsidR="007B6014">
        <w:rPr>
          <w:rFonts w:asciiTheme="majorHAnsi" w:hAnsiTheme="majorHAnsi" w:cstheme="majorHAnsi"/>
        </w:rPr>
        <w:t xml:space="preserve"> </w:t>
      </w:r>
      <w:r w:rsidR="006623AD">
        <w:rPr>
          <w:rFonts w:asciiTheme="majorHAnsi" w:hAnsiTheme="majorHAnsi" w:cstheme="majorHAnsi"/>
        </w:rPr>
        <w:t>=</w:t>
      </w:r>
      <w:r w:rsidR="007B6014">
        <w:rPr>
          <w:rFonts w:asciiTheme="majorHAnsi" w:hAnsiTheme="majorHAnsi" w:cstheme="majorHAnsi"/>
        </w:rPr>
        <w:t xml:space="preserve"> </w:t>
      </w:r>
      <w:r w:rsidR="006623AD">
        <w:rPr>
          <w:rFonts w:asciiTheme="majorHAnsi" w:hAnsiTheme="majorHAnsi" w:cstheme="majorHAnsi"/>
        </w:rPr>
        <w:t>0.2326</w:t>
      </w:r>
      <w:r w:rsidR="00781FBF">
        <w:rPr>
          <w:rFonts w:asciiTheme="majorHAnsi" w:hAnsiTheme="majorHAnsi" w:cstheme="majorHAnsi"/>
        </w:rPr>
        <w:t xml:space="preserve"> for Model 15, FSD 7</w:t>
      </w:r>
      <w:r w:rsidR="006623AD">
        <w:rPr>
          <w:rFonts w:asciiTheme="majorHAnsi" w:hAnsiTheme="majorHAnsi" w:cstheme="majorHAnsi"/>
        </w:rPr>
        <w:t>), while, not surprising, Model 15</w:t>
      </w:r>
      <w:r w:rsidR="0086558E">
        <w:rPr>
          <w:rFonts w:asciiTheme="majorHAnsi" w:hAnsiTheme="majorHAnsi" w:cstheme="majorHAnsi"/>
        </w:rPr>
        <w:t xml:space="preserve">, </w:t>
      </w:r>
      <w:r w:rsidR="000E3A83">
        <w:rPr>
          <w:rFonts w:asciiTheme="majorHAnsi" w:hAnsiTheme="majorHAnsi" w:cstheme="majorHAnsi"/>
        </w:rPr>
        <w:t xml:space="preserve">FSD </w:t>
      </w:r>
      <w:r w:rsidR="006623AD">
        <w:rPr>
          <w:rFonts w:asciiTheme="majorHAnsi" w:hAnsiTheme="majorHAnsi" w:cstheme="majorHAnsi"/>
        </w:rPr>
        <w:t>20 performs worst (</w:t>
      </w:r>
      <w:r w:rsidR="00AF755B">
        <w:rPr>
          <w:rFonts w:asciiTheme="majorHAnsi" w:hAnsiTheme="majorHAnsi" w:cstheme="majorHAnsi"/>
        </w:rPr>
        <w:t>AVM-ES</w:t>
      </w:r>
      <w:r w:rsidR="007B6014">
        <w:rPr>
          <w:rFonts w:asciiTheme="majorHAnsi" w:hAnsiTheme="majorHAnsi" w:cstheme="majorHAnsi"/>
        </w:rPr>
        <w:t xml:space="preserve"> </w:t>
      </w:r>
      <w:r w:rsidR="006623AD">
        <w:rPr>
          <w:rFonts w:asciiTheme="majorHAnsi" w:hAnsiTheme="majorHAnsi" w:cstheme="majorHAnsi"/>
        </w:rPr>
        <w:t>=</w:t>
      </w:r>
      <w:r w:rsidR="007B6014">
        <w:rPr>
          <w:rFonts w:asciiTheme="majorHAnsi" w:hAnsiTheme="majorHAnsi" w:cstheme="majorHAnsi"/>
        </w:rPr>
        <w:t xml:space="preserve"> </w:t>
      </w:r>
      <w:r w:rsidR="006623AD">
        <w:rPr>
          <w:rFonts w:asciiTheme="majorHAnsi" w:hAnsiTheme="majorHAnsi" w:cstheme="majorHAnsi"/>
        </w:rPr>
        <w:t>1.2411).</w:t>
      </w:r>
      <w:r w:rsidR="007B6014">
        <w:rPr>
          <w:rFonts w:asciiTheme="majorHAnsi" w:hAnsiTheme="majorHAnsi" w:cstheme="majorHAnsi"/>
        </w:rPr>
        <w:t xml:space="preserve"> </w:t>
      </w:r>
      <w:r w:rsidR="00075D2F">
        <w:rPr>
          <w:rFonts w:asciiTheme="majorHAnsi" w:hAnsiTheme="majorHAnsi" w:cstheme="majorHAnsi"/>
        </w:rPr>
        <w:t xml:space="preserve">The </w:t>
      </w:r>
      <w:r w:rsidR="00B47926">
        <w:rPr>
          <w:rFonts w:asciiTheme="majorHAnsi" w:hAnsiTheme="majorHAnsi" w:cstheme="majorHAnsi"/>
        </w:rPr>
        <w:t xml:space="preserve">AVM-ES </w:t>
      </w:r>
      <w:r w:rsidR="00075D2F">
        <w:rPr>
          <w:rFonts w:asciiTheme="majorHAnsi" w:hAnsiTheme="majorHAnsi" w:cstheme="majorHAnsi"/>
        </w:rPr>
        <w:t xml:space="preserve">results </w:t>
      </w:r>
      <w:r w:rsidR="001526CE">
        <w:rPr>
          <w:rFonts w:asciiTheme="majorHAnsi" w:hAnsiTheme="majorHAnsi" w:cstheme="majorHAnsi"/>
        </w:rPr>
        <w:t xml:space="preserve">for Model 15 </w:t>
      </w:r>
      <w:r w:rsidR="00075D2F">
        <w:rPr>
          <w:rFonts w:asciiTheme="majorHAnsi" w:hAnsiTheme="majorHAnsi" w:cstheme="majorHAnsi"/>
        </w:rPr>
        <w:t>demonstrate relative consistency</w:t>
      </w:r>
      <w:r w:rsidR="00B47926">
        <w:rPr>
          <w:rFonts w:asciiTheme="majorHAnsi" w:hAnsiTheme="majorHAnsi" w:cstheme="majorHAnsi"/>
        </w:rPr>
        <w:t xml:space="preserve"> of the FSDs</w:t>
      </w:r>
      <w:r w:rsidR="00075D2F">
        <w:rPr>
          <w:rFonts w:asciiTheme="majorHAnsi" w:hAnsiTheme="majorHAnsi" w:cstheme="majorHAnsi"/>
        </w:rPr>
        <w:t>, where</w:t>
      </w:r>
      <w:r w:rsidR="007B6014">
        <w:rPr>
          <w:rFonts w:asciiTheme="majorHAnsi" w:hAnsiTheme="majorHAnsi" w:cstheme="majorHAnsi"/>
        </w:rPr>
        <w:t>by</w:t>
      </w:r>
      <w:r w:rsidR="00075D2F">
        <w:rPr>
          <w:rFonts w:asciiTheme="majorHAnsi" w:hAnsiTheme="majorHAnsi" w:cstheme="majorHAnsi"/>
        </w:rPr>
        <w:t xml:space="preserve"> the </w:t>
      </w:r>
      <w:r w:rsidR="0007386E">
        <w:rPr>
          <w:rFonts w:asciiTheme="majorHAnsi" w:hAnsiTheme="majorHAnsi" w:cstheme="majorHAnsi"/>
        </w:rPr>
        <w:t>lower</w:t>
      </w:r>
      <w:r w:rsidR="00075D2F">
        <w:rPr>
          <w:rFonts w:asciiTheme="majorHAnsi" w:hAnsiTheme="majorHAnsi" w:cstheme="majorHAnsi"/>
        </w:rPr>
        <w:t xml:space="preserve"> vendor-reported FSDs </w:t>
      </w:r>
      <w:r w:rsidR="0007386E">
        <w:rPr>
          <w:rFonts w:asciiTheme="majorHAnsi" w:hAnsiTheme="majorHAnsi" w:cstheme="majorHAnsi"/>
        </w:rPr>
        <w:t>tend to perform better</w:t>
      </w:r>
      <w:r w:rsidR="001526CE">
        <w:rPr>
          <w:rFonts w:asciiTheme="majorHAnsi" w:hAnsiTheme="majorHAnsi" w:cstheme="majorHAnsi"/>
        </w:rPr>
        <w:t xml:space="preserve"> than higher ones</w:t>
      </w:r>
      <w:r w:rsidR="0007386E">
        <w:rPr>
          <w:rFonts w:asciiTheme="majorHAnsi" w:hAnsiTheme="majorHAnsi" w:cstheme="majorHAnsi"/>
        </w:rPr>
        <w:t xml:space="preserve">, however, </w:t>
      </w:r>
      <w:r w:rsidR="004458D6">
        <w:rPr>
          <w:rFonts w:asciiTheme="majorHAnsi" w:hAnsiTheme="majorHAnsi" w:cstheme="majorHAnsi"/>
        </w:rPr>
        <w:t xml:space="preserve">vendor-reported </w:t>
      </w:r>
      <w:r w:rsidR="0007386E">
        <w:rPr>
          <w:rFonts w:asciiTheme="majorHAnsi" w:hAnsiTheme="majorHAnsi" w:cstheme="majorHAnsi"/>
        </w:rPr>
        <w:t xml:space="preserve">FSDs of 7, 8 and 9 </w:t>
      </w:r>
      <w:r w:rsidR="007B6014">
        <w:rPr>
          <w:rFonts w:asciiTheme="majorHAnsi" w:hAnsiTheme="majorHAnsi" w:cstheme="majorHAnsi"/>
        </w:rPr>
        <w:t xml:space="preserve">from Model 15 </w:t>
      </w:r>
      <w:r w:rsidR="0007386E">
        <w:rPr>
          <w:rFonts w:asciiTheme="majorHAnsi" w:hAnsiTheme="majorHAnsi" w:cstheme="majorHAnsi"/>
        </w:rPr>
        <w:t xml:space="preserve">outperform </w:t>
      </w:r>
      <w:r w:rsidR="007B6014">
        <w:rPr>
          <w:rFonts w:asciiTheme="majorHAnsi" w:hAnsiTheme="majorHAnsi" w:cstheme="majorHAnsi"/>
        </w:rPr>
        <w:t xml:space="preserve">its </w:t>
      </w:r>
      <w:r w:rsidR="004458D6">
        <w:rPr>
          <w:rFonts w:asciiTheme="majorHAnsi" w:hAnsiTheme="majorHAnsi" w:cstheme="majorHAnsi"/>
        </w:rPr>
        <w:t xml:space="preserve">vendor-reported </w:t>
      </w:r>
      <w:r w:rsidR="0007386E">
        <w:rPr>
          <w:rFonts w:asciiTheme="majorHAnsi" w:hAnsiTheme="majorHAnsi" w:cstheme="majorHAnsi"/>
        </w:rPr>
        <w:t xml:space="preserve">FSDs of 3, 4, 5 and 6.   </w:t>
      </w:r>
    </w:p>
    <w:p w14:paraId="5CE943F2" w14:textId="6C4C311C" w:rsidR="00714240" w:rsidRDefault="00714240" w:rsidP="00CF7218">
      <w:pPr>
        <w:tabs>
          <w:tab w:val="num" w:pos="720"/>
        </w:tabs>
        <w:spacing w:line="360" w:lineRule="auto"/>
        <w:ind w:firstLine="0"/>
        <w:jc w:val="center"/>
        <w:rPr>
          <w:rFonts w:asciiTheme="majorHAnsi" w:hAnsiTheme="majorHAnsi" w:cstheme="majorHAnsi"/>
        </w:rPr>
      </w:pPr>
      <w:r w:rsidRPr="00DE1DC1">
        <w:rPr>
          <w:rFonts w:asciiTheme="majorHAnsi" w:hAnsiTheme="majorHAnsi" w:cstheme="majorHAnsi"/>
        </w:rPr>
        <w:t xml:space="preserve">Exhibit </w:t>
      </w:r>
      <w:r w:rsidR="00DE1DC1" w:rsidRPr="00DE1DC1">
        <w:rPr>
          <w:rFonts w:asciiTheme="majorHAnsi" w:hAnsiTheme="majorHAnsi" w:cstheme="majorHAnsi"/>
        </w:rPr>
        <w:t>7</w:t>
      </w:r>
      <w:r>
        <w:rPr>
          <w:rFonts w:asciiTheme="majorHAnsi" w:hAnsiTheme="majorHAnsi" w:cstheme="majorHAnsi"/>
        </w:rPr>
        <w:t xml:space="preserve"> About Here</w:t>
      </w:r>
    </w:p>
    <w:p w14:paraId="34CACCD1" w14:textId="77777777" w:rsidR="00AC6A97" w:rsidRDefault="00714240" w:rsidP="006623AD">
      <w:pPr>
        <w:tabs>
          <w:tab w:val="num" w:pos="720"/>
        </w:tabs>
        <w:spacing w:before="240" w:line="360" w:lineRule="auto"/>
        <w:ind w:firstLine="0"/>
        <w:jc w:val="both"/>
      </w:pPr>
      <w:r w:rsidRPr="00EB6A41">
        <w:lastRenderedPageBreak/>
        <w:t>Lastly</w:t>
      </w:r>
      <w:r w:rsidR="0090242B">
        <w:t xml:space="preserve">, the AVM-ES can </w:t>
      </w:r>
      <w:r w:rsidR="0090242B" w:rsidRPr="008560A3">
        <w:rPr>
          <w:rFonts w:asciiTheme="majorHAnsi" w:hAnsiTheme="majorHAnsi" w:cstheme="majorHAnsi"/>
        </w:rPr>
        <w:t xml:space="preserve">illuminate which AVM performs best for all property sales with a given </w:t>
      </w:r>
      <w:r w:rsidR="004458D6">
        <w:rPr>
          <w:rFonts w:asciiTheme="majorHAnsi" w:hAnsiTheme="majorHAnsi" w:cstheme="majorHAnsi"/>
        </w:rPr>
        <w:t xml:space="preserve">vendor-reported </w:t>
      </w:r>
      <w:r w:rsidR="0090242B" w:rsidRPr="008560A3">
        <w:rPr>
          <w:rFonts w:asciiTheme="majorHAnsi" w:hAnsiTheme="majorHAnsi" w:cstheme="majorHAnsi"/>
        </w:rPr>
        <w:t>FSD</w:t>
      </w:r>
      <w:r w:rsidR="006322F0">
        <w:rPr>
          <w:rFonts w:asciiTheme="majorHAnsi" w:hAnsiTheme="majorHAnsi" w:cstheme="majorHAnsi"/>
        </w:rPr>
        <w:t xml:space="preserve">. To illustrate, </w:t>
      </w:r>
      <w:r w:rsidR="000F1B2D">
        <w:t>Model 1</w:t>
      </w:r>
      <w:r w:rsidR="0090242B">
        <w:t xml:space="preserve"> </w:t>
      </w:r>
      <w:r w:rsidR="00781FBF">
        <w:t>is the top-performing of all 15</w:t>
      </w:r>
      <w:r w:rsidR="006322F0">
        <w:t xml:space="preserve"> AVMs</w:t>
      </w:r>
      <w:r w:rsidR="00781FBF">
        <w:t xml:space="preserve"> having</w:t>
      </w:r>
      <w:r w:rsidR="006322F0">
        <w:t xml:space="preserve"> a</w:t>
      </w:r>
      <w:r w:rsidR="004458D6">
        <w:t xml:space="preserve"> vendor-reported</w:t>
      </w:r>
      <w:r w:rsidR="006322F0">
        <w:t xml:space="preserve"> FSD of 6, as it </w:t>
      </w:r>
      <w:r w:rsidR="0090242B">
        <w:t>has the lowest AVM-ES value</w:t>
      </w:r>
      <w:r w:rsidR="006322F0">
        <w:t xml:space="preserve"> (0.1290</w:t>
      </w:r>
      <w:r w:rsidR="00781FBF">
        <w:t xml:space="preserve"> for Model 1, FSD 6</w:t>
      </w:r>
      <w:r w:rsidR="006322F0">
        <w:t xml:space="preserve">, see Exhibit </w:t>
      </w:r>
      <w:r w:rsidR="008F5B7E">
        <w:t>6</w:t>
      </w:r>
      <w:r w:rsidR="006322F0">
        <w:t xml:space="preserve">). </w:t>
      </w:r>
      <w:r w:rsidR="004F225C">
        <w:t>Model 12 is worst performing</w:t>
      </w:r>
      <w:r w:rsidR="0090242B">
        <w:t xml:space="preserve"> (AVM-ES = 0.6582</w:t>
      </w:r>
      <w:r w:rsidR="00781FBF">
        <w:t xml:space="preserve"> for Model 12, FSD 6</w:t>
      </w:r>
      <w:r w:rsidR="0090242B">
        <w:t>) o</w:t>
      </w:r>
      <w:r w:rsidR="004F225C">
        <w:t>f the 15 AVMs</w:t>
      </w:r>
      <w:r w:rsidR="009A4A34">
        <w:t xml:space="preserve"> valuing benchmark properties</w:t>
      </w:r>
      <w:r w:rsidR="004F225C">
        <w:t xml:space="preserve"> </w:t>
      </w:r>
      <w:r w:rsidR="004458D6">
        <w:t>with a vendor</w:t>
      </w:r>
      <w:r w:rsidR="004F225C">
        <w:t>-report</w:t>
      </w:r>
      <w:r w:rsidR="004458D6">
        <w:t>ed</w:t>
      </w:r>
      <w:r w:rsidR="004F225C">
        <w:t xml:space="preserve"> FSD of 6</w:t>
      </w:r>
      <w:r w:rsidR="0090242B">
        <w:t xml:space="preserve">. </w:t>
      </w:r>
    </w:p>
    <w:p w14:paraId="275BCDBF" w14:textId="7F2964E7" w:rsidR="008A1725" w:rsidRPr="008A1725" w:rsidRDefault="008A1725" w:rsidP="00DE1DC1">
      <w:pPr>
        <w:tabs>
          <w:tab w:val="num" w:pos="720"/>
        </w:tabs>
        <w:spacing w:before="240" w:line="360" w:lineRule="auto"/>
        <w:ind w:firstLine="0"/>
        <w:jc w:val="both"/>
        <w:rPr>
          <w:rFonts w:asciiTheme="majorHAnsi" w:hAnsiTheme="majorHAnsi" w:cstheme="majorHAnsi"/>
          <w:b/>
          <w:bCs/>
        </w:rPr>
      </w:pPr>
      <w:r>
        <w:rPr>
          <w:rFonts w:cstheme="majorHAnsi"/>
          <w:b/>
          <w:bCs/>
          <w:sz w:val="28"/>
          <w:szCs w:val="28"/>
        </w:rPr>
        <w:tab/>
      </w:r>
      <w:r>
        <w:rPr>
          <w:rFonts w:cstheme="majorHAnsi"/>
          <w:b/>
          <w:bCs/>
          <w:sz w:val="28"/>
          <w:szCs w:val="28"/>
        </w:rPr>
        <w:tab/>
      </w:r>
      <w:r w:rsidR="002307CC">
        <w:rPr>
          <w:rFonts w:cstheme="majorHAnsi"/>
          <w:b/>
          <w:bCs/>
          <w:sz w:val="28"/>
          <w:szCs w:val="28"/>
        </w:rPr>
        <w:t>5</w:t>
      </w:r>
      <w:r w:rsidRPr="000E2F23">
        <w:rPr>
          <w:rFonts w:cstheme="majorHAnsi"/>
          <w:b/>
          <w:bCs/>
          <w:sz w:val="28"/>
          <w:szCs w:val="28"/>
        </w:rPr>
        <w:t>a</w:t>
      </w:r>
      <w:r>
        <w:rPr>
          <w:rFonts w:cstheme="majorHAnsi"/>
          <w:b/>
          <w:bCs/>
          <w:sz w:val="28"/>
          <w:szCs w:val="28"/>
        </w:rPr>
        <w:t xml:space="preserve"> ii</w:t>
      </w:r>
      <w:r w:rsidRPr="000E2F23">
        <w:rPr>
          <w:rFonts w:cstheme="majorHAnsi"/>
          <w:b/>
          <w:bCs/>
          <w:sz w:val="28"/>
          <w:szCs w:val="28"/>
        </w:rPr>
        <w:t xml:space="preserve">. </w:t>
      </w:r>
      <w:r>
        <w:rPr>
          <w:rFonts w:cstheme="majorHAnsi"/>
          <w:b/>
          <w:bCs/>
          <w:sz w:val="28"/>
          <w:szCs w:val="28"/>
        </w:rPr>
        <w:t>Clark County Analysis</w:t>
      </w:r>
    </w:p>
    <w:p w14:paraId="22B4C561" w14:textId="61C46F5C" w:rsidR="008A1725" w:rsidRPr="00B23744" w:rsidRDefault="008A1725" w:rsidP="008A1725">
      <w:pPr>
        <w:tabs>
          <w:tab w:val="num" w:pos="720"/>
        </w:tabs>
        <w:spacing w:line="360" w:lineRule="auto"/>
        <w:ind w:firstLine="0"/>
        <w:jc w:val="both"/>
        <w:rPr>
          <w:rFonts w:ascii="Times New Roman" w:eastAsia="SimSun" w:hAnsi="Times New Roman" w:cs="Times New Roman"/>
          <w:color w:val="000000"/>
        </w:rPr>
      </w:pPr>
      <w:r w:rsidRPr="00FB55EB">
        <w:rPr>
          <w:rFonts w:asciiTheme="majorHAnsi" w:hAnsiTheme="majorHAnsi" w:cstheme="majorHAnsi"/>
        </w:rPr>
        <w:t xml:space="preserve">The second empirical analysis directly compares and ranks twelve AVMs, using ten AVM Performance Metrics </w:t>
      </w:r>
      <w:r w:rsidR="001D6783">
        <w:rPr>
          <w:rFonts w:asciiTheme="majorHAnsi" w:hAnsiTheme="majorHAnsi" w:cstheme="majorHAnsi"/>
        </w:rPr>
        <w:t xml:space="preserve">for </w:t>
      </w:r>
      <w:r w:rsidRPr="00FB55EB">
        <w:rPr>
          <w:rFonts w:asciiTheme="majorHAnsi" w:hAnsiTheme="majorHAnsi" w:cstheme="majorHAnsi"/>
        </w:rPr>
        <w:t>a common</w:t>
      </w:r>
      <w:r w:rsidR="004F61EC">
        <w:rPr>
          <w:rFonts w:asciiTheme="majorHAnsi" w:hAnsiTheme="majorHAnsi" w:cstheme="majorHAnsi"/>
        </w:rPr>
        <w:t>ly-valued</w:t>
      </w:r>
      <w:r w:rsidRPr="00FB55EB">
        <w:rPr>
          <w:rFonts w:asciiTheme="majorHAnsi" w:hAnsiTheme="majorHAnsi" w:cstheme="majorHAnsi"/>
        </w:rPr>
        <w:t xml:space="preserve"> </w:t>
      </w:r>
      <w:r w:rsidR="00A20639">
        <w:rPr>
          <w:rFonts w:asciiTheme="majorHAnsi" w:hAnsiTheme="majorHAnsi" w:cstheme="majorHAnsi"/>
        </w:rPr>
        <w:t>set</w:t>
      </w:r>
      <w:r w:rsidRPr="00FB55EB">
        <w:rPr>
          <w:rFonts w:asciiTheme="majorHAnsi" w:hAnsiTheme="majorHAnsi" w:cstheme="majorHAnsi"/>
        </w:rPr>
        <w:t xml:space="preserve"> of 1,193 sales from Clark County, Nevada. </w:t>
      </w:r>
      <w:r w:rsidR="00A20639">
        <w:rPr>
          <w:rFonts w:asciiTheme="majorHAnsi" w:hAnsiTheme="majorHAnsi" w:cstheme="majorHAnsi"/>
        </w:rPr>
        <w:t xml:space="preserve">That is, each AVM valued each of the 1,193 benchmark properties, which </w:t>
      </w:r>
      <w:r w:rsidRPr="00FB55EB">
        <w:rPr>
          <w:rFonts w:asciiTheme="majorHAnsi" w:hAnsiTheme="majorHAnsi" w:cstheme="majorHAnsi"/>
        </w:rPr>
        <w:t xml:space="preserve">were culled from the </w:t>
      </w:r>
      <w:r w:rsidR="001E1AE7" w:rsidRPr="00FB55EB">
        <w:rPr>
          <w:rFonts w:cstheme="minorHAnsi"/>
        </w:rPr>
        <w:t xml:space="preserve">455,563 </w:t>
      </w:r>
      <w:r w:rsidRPr="00FB55EB">
        <w:rPr>
          <w:rFonts w:asciiTheme="majorHAnsi" w:hAnsiTheme="majorHAnsi" w:cstheme="majorHAnsi"/>
        </w:rPr>
        <w:t>sales used in the AVM-by-FSD analysis</w:t>
      </w:r>
      <w:r w:rsidR="00E01437">
        <w:rPr>
          <w:rFonts w:asciiTheme="majorHAnsi" w:hAnsiTheme="majorHAnsi" w:cstheme="majorHAnsi"/>
        </w:rPr>
        <w:t xml:space="preserve">.  </w:t>
      </w:r>
      <w:r w:rsidRPr="00FB55EB">
        <w:rPr>
          <w:rFonts w:asciiTheme="majorHAnsi" w:hAnsiTheme="majorHAnsi" w:cstheme="majorHAnsi"/>
        </w:rPr>
        <w:t>The</w:t>
      </w:r>
      <w:r>
        <w:rPr>
          <w:rFonts w:asciiTheme="majorHAnsi" w:hAnsiTheme="majorHAnsi" w:cstheme="majorHAnsi"/>
        </w:rPr>
        <w:t xml:space="preserve"> ten AVM Performance Metrics used in this analysis can be seen </w:t>
      </w:r>
      <w:r w:rsidRPr="00B23744">
        <w:rPr>
          <w:rFonts w:asciiTheme="majorHAnsi" w:hAnsiTheme="majorHAnsi" w:cstheme="majorHAnsi"/>
        </w:rPr>
        <w:t xml:space="preserve">in Exhibit </w:t>
      </w:r>
      <w:r w:rsidR="00DE1DC1" w:rsidRPr="00B23744">
        <w:rPr>
          <w:rFonts w:asciiTheme="majorHAnsi" w:hAnsiTheme="majorHAnsi" w:cstheme="majorHAnsi"/>
        </w:rPr>
        <w:t>8</w:t>
      </w:r>
      <w:r w:rsidRPr="00B23744">
        <w:rPr>
          <w:rFonts w:asciiTheme="majorHAnsi" w:hAnsiTheme="majorHAnsi" w:cstheme="majorHAnsi"/>
        </w:rPr>
        <w:t xml:space="preserve">, while </w:t>
      </w:r>
      <w:r w:rsidRPr="00B23744">
        <w:rPr>
          <w:rFonts w:ascii="Times New Roman" w:eastAsia="SimSun" w:hAnsi="Times New Roman" w:cs="Times New Roman"/>
          <w:color w:val="000000"/>
        </w:rPr>
        <w:t xml:space="preserve">Exhibit </w:t>
      </w:r>
      <w:r w:rsidR="00B23744" w:rsidRPr="00B23744">
        <w:rPr>
          <w:rFonts w:ascii="Times New Roman" w:eastAsia="SimSun" w:hAnsi="Times New Roman" w:cs="Times New Roman"/>
          <w:color w:val="000000"/>
        </w:rPr>
        <w:t>9</w:t>
      </w:r>
      <w:r w:rsidRPr="00B23744">
        <w:rPr>
          <w:rFonts w:ascii="Times New Roman" w:eastAsia="SimSun" w:hAnsi="Times New Roman" w:cs="Times New Roman"/>
          <w:color w:val="000000"/>
        </w:rPr>
        <w:t xml:space="preserve"> shows the individual values of these </w:t>
      </w:r>
      <w:r w:rsidR="003B1E9B">
        <w:rPr>
          <w:rFonts w:ascii="Times New Roman" w:eastAsia="SimSun" w:hAnsi="Times New Roman" w:cs="Times New Roman"/>
          <w:color w:val="000000"/>
        </w:rPr>
        <w:t>metrics</w:t>
      </w:r>
      <w:r w:rsidRPr="00B23744">
        <w:rPr>
          <w:rFonts w:ascii="Times New Roman" w:eastAsia="SimSun" w:hAnsi="Times New Roman" w:cs="Times New Roman"/>
          <w:color w:val="000000"/>
        </w:rPr>
        <w:t xml:space="preserve">.   </w:t>
      </w:r>
    </w:p>
    <w:p w14:paraId="0C04ED1D" w14:textId="09415D94" w:rsidR="008A1725" w:rsidRPr="00DC2066" w:rsidRDefault="008A1725" w:rsidP="008A1725">
      <w:pPr>
        <w:tabs>
          <w:tab w:val="num" w:pos="720"/>
        </w:tabs>
        <w:spacing w:before="240" w:after="240" w:line="360" w:lineRule="auto"/>
        <w:ind w:firstLine="0"/>
        <w:jc w:val="center"/>
        <w:rPr>
          <w:rFonts w:asciiTheme="majorHAnsi" w:hAnsiTheme="majorHAnsi" w:cstheme="majorHAnsi"/>
        </w:rPr>
      </w:pPr>
      <w:r w:rsidRPr="00B23744">
        <w:rPr>
          <w:rFonts w:asciiTheme="majorHAnsi" w:hAnsiTheme="majorHAnsi" w:cstheme="majorHAnsi"/>
        </w:rPr>
        <w:t xml:space="preserve">Exhibits </w:t>
      </w:r>
      <w:r w:rsidR="00DE1DC1" w:rsidRPr="00B23744">
        <w:rPr>
          <w:rFonts w:asciiTheme="majorHAnsi" w:hAnsiTheme="majorHAnsi" w:cstheme="majorHAnsi"/>
        </w:rPr>
        <w:t>8</w:t>
      </w:r>
      <w:r w:rsidRPr="00B23744">
        <w:rPr>
          <w:rFonts w:asciiTheme="majorHAnsi" w:hAnsiTheme="majorHAnsi" w:cstheme="majorHAnsi"/>
        </w:rPr>
        <w:t xml:space="preserve"> and </w:t>
      </w:r>
      <w:r w:rsidR="00B23744" w:rsidRPr="00B23744">
        <w:rPr>
          <w:rFonts w:asciiTheme="majorHAnsi" w:hAnsiTheme="majorHAnsi" w:cstheme="majorHAnsi"/>
        </w:rPr>
        <w:t>9</w:t>
      </w:r>
      <w:r w:rsidRPr="00B23744">
        <w:rPr>
          <w:rFonts w:asciiTheme="majorHAnsi" w:hAnsiTheme="majorHAnsi" w:cstheme="majorHAnsi"/>
        </w:rPr>
        <w:t xml:space="preserve"> About Here</w:t>
      </w:r>
    </w:p>
    <w:p w14:paraId="340920F7" w14:textId="44BF2C0A" w:rsidR="008A1725" w:rsidRDefault="008A1725" w:rsidP="008A1725">
      <w:pPr>
        <w:tabs>
          <w:tab w:val="num" w:pos="720"/>
        </w:tabs>
        <w:spacing w:after="240" w:line="360" w:lineRule="auto"/>
        <w:ind w:firstLine="0"/>
        <w:jc w:val="both"/>
        <w:rPr>
          <w:rFonts w:ascii="Times New Roman" w:eastAsia="SimSun" w:hAnsi="Times New Roman" w:cs="Times New Roman"/>
          <w:color w:val="000000"/>
        </w:rPr>
      </w:pPr>
      <w:r>
        <w:rPr>
          <w:rFonts w:asciiTheme="majorHAnsi" w:hAnsiTheme="majorHAnsi" w:cstheme="majorHAnsi"/>
        </w:rPr>
        <w:t>The objective of this second analysis is to identify the top-performing AVM</w:t>
      </w:r>
      <w:r w:rsidR="004F61EC">
        <w:rPr>
          <w:rFonts w:asciiTheme="majorHAnsi" w:hAnsiTheme="majorHAnsi" w:cstheme="majorHAnsi"/>
        </w:rPr>
        <w:t>s</w:t>
      </w:r>
      <w:r>
        <w:rPr>
          <w:rFonts w:asciiTheme="majorHAnsi" w:hAnsiTheme="majorHAnsi" w:cstheme="majorHAnsi"/>
        </w:rPr>
        <w:t xml:space="preserve"> in this </w:t>
      </w:r>
      <w:r w:rsidR="00081916">
        <w:rPr>
          <w:rFonts w:asciiTheme="majorHAnsi" w:hAnsiTheme="majorHAnsi" w:cstheme="majorHAnsi"/>
        </w:rPr>
        <w:t>market</w:t>
      </w:r>
      <w:r>
        <w:rPr>
          <w:rFonts w:asciiTheme="majorHAnsi" w:hAnsiTheme="majorHAnsi" w:cstheme="majorHAnsi"/>
        </w:rPr>
        <w:t xml:space="preserve">. Marginally, Models 2 and 7 are the most accurate, having their mean percentage errors closest to zero. </w:t>
      </w:r>
      <w:r>
        <w:rPr>
          <w:rFonts w:ascii="Times New Roman" w:eastAsia="SimSun" w:hAnsi="Times New Roman" w:cs="Times New Roman"/>
          <w:color w:val="000000"/>
        </w:rPr>
        <w:t xml:space="preserve">However, Model 7 has the third highest Failure Rate and highest values of the Failure Magnitude and Failure MAPE, respectively, suggesting that Model 7 is performing well on average, but apparently, at the cost of many extreme predictions or outliers. Model 2 has the lowest Failure Rate, but the second highest Failure Magnitude, which indicates that Model 2 also provides </w:t>
      </w:r>
      <w:r w:rsidR="003B1E9B">
        <w:rPr>
          <w:rFonts w:ascii="Times New Roman" w:eastAsia="SimSun" w:hAnsi="Times New Roman" w:cs="Times New Roman"/>
          <w:color w:val="000000"/>
        </w:rPr>
        <w:t>several</w:t>
      </w:r>
      <w:r>
        <w:rPr>
          <w:rFonts w:ascii="Times New Roman" w:eastAsia="SimSun" w:hAnsi="Times New Roman" w:cs="Times New Roman"/>
          <w:color w:val="000000"/>
        </w:rPr>
        <w:t xml:space="preserve"> poor predictions, but far fewer than Model 7 </w:t>
      </w:r>
    </w:p>
    <w:p w14:paraId="4305A721" w14:textId="58BAD4E9" w:rsidR="00A20639" w:rsidRPr="00796DFE" w:rsidRDefault="008A1725" w:rsidP="00A20639">
      <w:pPr>
        <w:tabs>
          <w:tab w:val="num" w:pos="720"/>
        </w:tabs>
        <w:spacing w:before="240" w:line="360" w:lineRule="auto"/>
        <w:ind w:firstLine="0"/>
        <w:jc w:val="both"/>
        <w:rPr>
          <w:rFonts w:asciiTheme="majorHAnsi" w:hAnsiTheme="majorHAnsi" w:cstheme="majorHAnsi"/>
        </w:rPr>
      </w:pPr>
      <w:r>
        <w:rPr>
          <w:rFonts w:asciiTheme="majorHAnsi" w:hAnsiTheme="majorHAnsi" w:cstheme="majorHAnsi"/>
        </w:rPr>
        <w:t xml:space="preserve">As seen in </w:t>
      </w:r>
      <w:r w:rsidRPr="00B23744">
        <w:rPr>
          <w:rFonts w:asciiTheme="majorHAnsi" w:hAnsiTheme="majorHAnsi" w:cstheme="majorHAnsi"/>
        </w:rPr>
        <w:t xml:space="preserve">Exhibit </w:t>
      </w:r>
      <w:r w:rsidR="00DE1DC1" w:rsidRPr="00B23744">
        <w:rPr>
          <w:rFonts w:asciiTheme="majorHAnsi" w:hAnsiTheme="majorHAnsi" w:cstheme="majorHAnsi"/>
        </w:rPr>
        <w:t>8</w:t>
      </w:r>
      <w:r w:rsidRPr="00B23744">
        <w:rPr>
          <w:rFonts w:asciiTheme="majorHAnsi" w:hAnsiTheme="majorHAnsi" w:cstheme="majorHAnsi"/>
        </w:rPr>
        <w:t>, the</w:t>
      </w:r>
      <w:r w:rsidRPr="00C33D39">
        <w:rPr>
          <w:rFonts w:asciiTheme="majorHAnsi" w:hAnsiTheme="majorHAnsi" w:cstheme="majorHAnsi"/>
        </w:rPr>
        <w:t xml:space="preserve"> standard deviations for </w:t>
      </w:r>
      <w:r>
        <w:rPr>
          <w:rFonts w:asciiTheme="majorHAnsi" w:hAnsiTheme="majorHAnsi" w:cstheme="majorHAnsi"/>
        </w:rPr>
        <w:t>three</w:t>
      </w:r>
      <w:r w:rsidRPr="00C33D39">
        <w:rPr>
          <w:rFonts w:asciiTheme="majorHAnsi" w:hAnsiTheme="majorHAnsi" w:cstheme="majorHAnsi"/>
        </w:rPr>
        <w:t xml:space="preserve"> of </w:t>
      </w:r>
      <w:r>
        <w:rPr>
          <w:rFonts w:asciiTheme="majorHAnsi" w:hAnsiTheme="majorHAnsi" w:cstheme="majorHAnsi"/>
        </w:rPr>
        <w:t xml:space="preserve">the </w:t>
      </w:r>
      <w:r w:rsidR="0008630A">
        <w:rPr>
          <w:rFonts w:asciiTheme="majorHAnsi" w:hAnsiTheme="majorHAnsi" w:cstheme="majorHAnsi"/>
        </w:rPr>
        <w:t xml:space="preserve">IAAO </w:t>
      </w:r>
      <w:r w:rsidR="00C213C1">
        <w:rPr>
          <w:rFonts w:asciiTheme="majorHAnsi" w:hAnsiTheme="majorHAnsi" w:cstheme="majorHAnsi"/>
        </w:rPr>
        <w:t>metrics</w:t>
      </w:r>
      <w:r w:rsidRPr="004458D6">
        <w:rPr>
          <w:rFonts w:asciiTheme="majorHAnsi" w:hAnsiTheme="majorHAnsi" w:cstheme="majorHAnsi"/>
        </w:rPr>
        <w:t xml:space="preserve"> </w:t>
      </w:r>
      <w:r>
        <w:rPr>
          <w:rFonts w:asciiTheme="majorHAnsi" w:hAnsiTheme="majorHAnsi" w:cstheme="majorHAnsi"/>
        </w:rPr>
        <w:t xml:space="preserve">(COV, PRD, PRB) </w:t>
      </w:r>
      <w:r w:rsidRPr="00824F11">
        <w:rPr>
          <w:rFonts w:asciiTheme="majorHAnsi" w:hAnsiTheme="majorHAnsi" w:cstheme="majorHAnsi"/>
        </w:rPr>
        <w:t>used in the Clark County analysis</w:t>
      </w:r>
      <w:r w:rsidRPr="00C33D39">
        <w:rPr>
          <w:rFonts w:asciiTheme="majorHAnsi" w:hAnsiTheme="majorHAnsi" w:cstheme="majorHAnsi"/>
        </w:rPr>
        <w:t xml:space="preserve"> </w:t>
      </w:r>
      <w:r>
        <w:rPr>
          <w:rFonts w:asciiTheme="majorHAnsi" w:hAnsiTheme="majorHAnsi" w:cstheme="majorHAnsi"/>
        </w:rPr>
        <w:t>are</w:t>
      </w:r>
      <w:r w:rsidRPr="00C33D39">
        <w:rPr>
          <w:rFonts w:asciiTheme="majorHAnsi" w:hAnsiTheme="majorHAnsi" w:cstheme="majorHAnsi"/>
        </w:rPr>
        <w:t xml:space="preserve"> orders of magnitude smaller than </w:t>
      </w:r>
      <w:r>
        <w:rPr>
          <w:rFonts w:asciiTheme="majorHAnsi" w:hAnsiTheme="majorHAnsi" w:cstheme="majorHAnsi"/>
        </w:rPr>
        <w:t>the remaining seven</w:t>
      </w:r>
      <w:r w:rsidR="0008630A">
        <w:rPr>
          <w:rFonts w:asciiTheme="majorHAnsi" w:hAnsiTheme="majorHAnsi" w:cstheme="majorHAnsi"/>
        </w:rPr>
        <w:t xml:space="preserve"> metrics</w:t>
      </w:r>
      <w:r w:rsidRPr="00C33D39">
        <w:rPr>
          <w:rFonts w:asciiTheme="majorHAnsi" w:hAnsiTheme="majorHAnsi" w:cstheme="majorHAnsi"/>
        </w:rPr>
        <w:t>.</w:t>
      </w:r>
      <w:r>
        <w:rPr>
          <w:rFonts w:asciiTheme="majorHAnsi" w:hAnsiTheme="majorHAnsi" w:cstheme="majorHAnsi"/>
        </w:rPr>
        <w:t xml:space="preserve"> </w:t>
      </w:r>
      <w:r w:rsidR="0073412B">
        <w:rPr>
          <w:rFonts w:ascii="Times New Roman" w:eastAsia="SimSun" w:hAnsi="Times New Roman" w:cs="Times New Roman"/>
          <w:color w:val="000000"/>
        </w:rPr>
        <w:t>That is</w:t>
      </w:r>
      <w:r>
        <w:rPr>
          <w:rFonts w:ascii="Times New Roman" w:eastAsia="SimSun" w:hAnsi="Times New Roman" w:cs="Times New Roman"/>
          <w:color w:val="000000"/>
        </w:rPr>
        <w:t xml:space="preserve">, as seen </w:t>
      </w:r>
      <w:r w:rsidRPr="00B23744">
        <w:rPr>
          <w:rFonts w:ascii="Times New Roman" w:eastAsia="SimSun" w:hAnsi="Times New Roman" w:cs="Times New Roman"/>
          <w:color w:val="000000"/>
        </w:rPr>
        <w:t xml:space="preserve">in Exhibit </w:t>
      </w:r>
      <w:r w:rsidR="00B23744" w:rsidRPr="00B23744">
        <w:rPr>
          <w:rFonts w:ascii="Times New Roman" w:eastAsia="SimSun" w:hAnsi="Times New Roman" w:cs="Times New Roman"/>
          <w:color w:val="000000"/>
        </w:rPr>
        <w:t>9</w:t>
      </w:r>
      <w:r w:rsidRPr="00B23744">
        <w:rPr>
          <w:rFonts w:ascii="Times New Roman" w:eastAsia="SimSun" w:hAnsi="Times New Roman" w:cs="Times New Roman"/>
          <w:color w:val="000000"/>
        </w:rPr>
        <w:t>, the</w:t>
      </w:r>
      <w:r>
        <w:rPr>
          <w:rFonts w:ascii="Times New Roman" w:eastAsia="SimSun" w:hAnsi="Times New Roman" w:cs="Times New Roman"/>
          <w:color w:val="000000"/>
        </w:rPr>
        <w:t xml:space="preserve"> PRD value for the twelve AVMs only ranges from 0.990 to 1.002. </w:t>
      </w:r>
      <w:r>
        <w:rPr>
          <w:rFonts w:asciiTheme="majorHAnsi" w:hAnsiTheme="majorHAnsi" w:cstheme="majorHAnsi"/>
        </w:rPr>
        <w:t>As a result</w:t>
      </w:r>
      <w:r w:rsidRPr="00C33D39">
        <w:rPr>
          <w:rFonts w:asciiTheme="majorHAnsi" w:hAnsiTheme="majorHAnsi" w:cstheme="majorHAnsi"/>
        </w:rPr>
        <w:t xml:space="preserve">, the AVM-ES requires the use of the correlation matrix </w:t>
      </w:r>
      <w:r>
        <w:rPr>
          <w:rFonts w:asciiTheme="majorHAnsi" w:hAnsiTheme="majorHAnsi" w:cstheme="majorHAnsi"/>
        </w:rPr>
        <w:t>in the Clark County analysis</w:t>
      </w:r>
      <w:r w:rsidRPr="00C33D39">
        <w:rPr>
          <w:rFonts w:asciiTheme="majorHAnsi" w:hAnsiTheme="majorHAnsi" w:cstheme="majorHAnsi"/>
        </w:rPr>
        <w:t xml:space="preserve"> when using these ten AVM Performance Metrics</w:t>
      </w:r>
      <w:r>
        <w:rPr>
          <w:rFonts w:asciiTheme="majorHAnsi" w:hAnsiTheme="majorHAnsi" w:cstheme="majorHAnsi"/>
        </w:rPr>
        <w:t>.</w:t>
      </w:r>
      <w:r w:rsidR="00A20639" w:rsidRPr="00A20639">
        <w:rPr>
          <w:rFonts w:asciiTheme="majorHAnsi" w:hAnsiTheme="majorHAnsi" w:cstheme="majorHAnsi"/>
          <w:lang w:val="en"/>
        </w:rPr>
        <w:t xml:space="preserve"> </w:t>
      </w:r>
      <w:r w:rsidR="00A20639">
        <w:rPr>
          <w:rFonts w:asciiTheme="majorHAnsi" w:hAnsiTheme="majorHAnsi" w:cstheme="majorHAnsi"/>
          <w:lang w:val="en"/>
        </w:rPr>
        <w:t xml:space="preserve">For the Clark County analysis, the AVM-ES explains 61.3 percent of the total variability in the ten </w:t>
      </w:r>
      <w:r w:rsidR="003B1E9B">
        <w:rPr>
          <w:rFonts w:asciiTheme="majorHAnsi" w:hAnsiTheme="majorHAnsi" w:cstheme="majorHAnsi"/>
          <w:lang w:val="en"/>
        </w:rPr>
        <w:t>metrics</w:t>
      </w:r>
      <w:r w:rsidR="00A20639">
        <w:rPr>
          <w:rFonts w:asciiTheme="majorHAnsi" w:hAnsiTheme="majorHAnsi" w:cstheme="majorHAnsi"/>
          <w:lang w:val="en"/>
        </w:rPr>
        <w:t>.</w:t>
      </w:r>
    </w:p>
    <w:p w14:paraId="5AB87D22" w14:textId="7657B531" w:rsidR="008A1725" w:rsidRDefault="008A1725" w:rsidP="008A1725">
      <w:pPr>
        <w:tabs>
          <w:tab w:val="num" w:pos="720"/>
        </w:tabs>
        <w:spacing w:before="240" w:line="360" w:lineRule="auto"/>
        <w:ind w:firstLine="0"/>
        <w:jc w:val="both"/>
        <w:rPr>
          <w:rFonts w:asciiTheme="majorHAnsi" w:hAnsiTheme="majorHAnsi" w:cstheme="majorHAnsi"/>
        </w:rPr>
      </w:pPr>
      <w:r>
        <w:rPr>
          <w:rFonts w:asciiTheme="majorHAnsi" w:hAnsiTheme="majorHAnsi" w:cstheme="majorHAnsi"/>
        </w:rPr>
        <w:t xml:space="preserve">Looking at the coefficients in the AVM-ES for the Clark County analysis in </w:t>
      </w:r>
      <w:r w:rsidRPr="00B23744">
        <w:rPr>
          <w:rFonts w:asciiTheme="majorHAnsi" w:hAnsiTheme="majorHAnsi" w:cstheme="majorHAnsi"/>
        </w:rPr>
        <w:t xml:space="preserve">Exhibit </w:t>
      </w:r>
      <w:r w:rsidR="00DE1DC1" w:rsidRPr="00B23744">
        <w:rPr>
          <w:rFonts w:asciiTheme="majorHAnsi" w:hAnsiTheme="majorHAnsi" w:cstheme="majorHAnsi"/>
        </w:rPr>
        <w:t>8</w:t>
      </w:r>
      <w:r w:rsidRPr="00B23744">
        <w:rPr>
          <w:rFonts w:asciiTheme="majorHAnsi" w:hAnsiTheme="majorHAnsi" w:cstheme="majorHAnsi"/>
        </w:rPr>
        <w:t>, seven</w:t>
      </w:r>
      <w:r>
        <w:rPr>
          <w:rFonts w:asciiTheme="majorHAnsi" w:hAnsiTheme="majorHAnsi" w:cstheme="majorHAnsi"/>
        </w:rPr>
        <w:t xml:space="preserve"> of the ten </w:t>
      </w:r>
      <w:r w:rsidR="00C213C1">
        <w:rPr>
          <w:rFonts w:asciiTheme="majorHAnsi" w:hAnsiTheme="majorHAnsi" w:cstheme="majorHAnsi"/>
        </w:rPr>
        <w:t>metrics</w:t>
      </w:r>
      <w:r>
        <w:rPr>
          <w:rFonts w:asciiTheme="majorHAnsi" w:hAnsiTheme="majorHAnsi" w:cstheme="majorHAnsi"/>
        </w:rPr>
        <w:t xml:space="preserve"> each receive similar weights, between 0.316 and 0.397, with the COD and Failure Rate being the most important.  In contrast, the Failure Magnitude, Failure MAPE and the PRD </w:t>
      </w:r>
      <w:r>
        <w:rPr>
          <w:rFonts w:asciiTheme="majorHAnsi" w:hAnsiTheme="majorHAnsi" w:cstheme="majorHAnsi"/>
        </w:rPr>
        <w:lastRenderedPageBreak/>
        <w:t>are the least important metrics, each receiving the lowest weights, with the Failure Magnitude and PRD being assigned negative weights. These negative weights act as a counterbalance to the remaining AVM Performance Metrics.  In particular, the negative Failure Magnitude coefficient arises because the models with the five lowest Failure Rates have four of the five highest Failure Magnitudes. The combined contribution</w:t>
      </w:r>
      <w:r>
        <w:rPr>
          <w:rStyle w:val="FootnoteReference"/>
          <w:rFonts w:asciiTheme="majorHAnsi" w:hAnsiTheme="majorHAnsi" w:cstheme="majorHAnsi"/>
        </w:rPr>
        <w:footnoteReference w:id="32"/>
      </w:r>
      <w:r>
        <w:rPr>
          <w:rFonts w:asciiTheme="majorHAnsi" w:hAnsiTheme="majorHAnsi" w:cstheme="majorHAnsi"/>
        </w:rPr>
        <w:t xml:space="preserve"> to the AVM-ES for these three </w:t>
      </w:r>
      <w:r w:rsidR="00C213C1">
        <w:rPr>
          <w:rFonts w:asciiTheme="majorHAnsi" w:hAnsiTheme="majorHAnsi" w:cstheme="majorHAnsi"/>
        </w:rPr>
        <w:t>metrics</w:t>
      </w:r>
      <w:r>
        <w:rPr>
          <w:rFonts w:asciiTheme="majorHAnsi" w:hAnsiTheme="majorHAnsi" w:cstheme="majorHAnsi"/>
        </w:rPr>
        <w:t xml:space="preserve"> (Failure Rate, Failure Magnitude, Failure MAPE), each measuring a different facet of outlier performance of an AVM, shows (in the Outlier Contribution column in </w:t>
      </w:r>
      <w:r w:rsidRPr="00C83C86">
        <w:rPr>
          <w:rFonts w:asciiTheme="majorHAnsi" w:hAnsiTheme="majorHAnsi" w:cstheme="majorHAnsi"/>
        </w:rPr>
        <w:t>Exhibit 1</w:t>
      </w:r>
      <w:r w:rsidR="00C83C86" w:rsidRPr="00C83C86">
        <w:rPr>
          <w:rFonts w:asciiTheme="majorHAnsi" w:hAnsiTheme="majorHAnsi" w:cstheme="majorHAnsi"/>
        </w:rPr>
        <w:t>0</w:t>
      </w:r>
      <w:r w:rsidRPr="00C83C86">
        <w:rPr>
          <w:rFonts w:asciiTheme="majorHAnsi" w:hAnsiTheme="majorHAnsi" w:cstheme="majorHAnsi"/>
        </w:rPr>
        <w:t>)</w:t>
      </w:r>
      <w:r>
        <w:rPr>
          <w:rFonts w:asciiTheme="majorHAnsi" w:hAnsiTheme="majorHAnsi" w:cstheme="majorHAnsi"/>
        </w:rPr>
        <w:t xml:space="preserve"> that Models 2 and 11 each substantially outperform the remaining AVMs. In terms of outliers, however, Model 2 slightly edges Model 11. The AVM-ES facilitates a direct comparison of two similarly performing models. Model 2 has produced fewer outliers (lower Failure Rate), but they are slightly more severe (higher Failure Magnitude and Failure MAPE) than Model 11.</w:t>
      </w:r>
    </w:p>
    <w:p w14:paraId="72A561B5" w14:textId="655E1DA8" w:rsidR="008A1725" w:rsidRDefault="008A1725" w:rsidP="008A1725">
      <w:pPr>
        <w:tabs>
          <w:tab w:val="num" w:pos="720"/>
        </w:tabs>
        <w:spacing w:before="240" w:line="360" w:lineRule="auto"/>
        <w:ind w:firstLine="0"/>
        <w:jc w:val="center"/>
        <w:rPr>
          <w:rFonts w:asciiTheme="majorHAnsi" w:hAnsiTheme="majorHAnsi" w:cstheme="majorHAnsi"/>
        </w:rPr>
      </w:pPr>
      <w:r w:rsidRPr="00C83C86">
        <w:rPr>
          <w:rFonts w:asciiTheme="majorHAnsi" w:hAnsiTheme="majorHAnsi" w:cstheme="majorHAnsi"/>
        </w:rPr>
        <w:t>Exhibit 1</w:t>
      </w:r>
      <w:r w:rsidR="00C83C86" w:rsidRPr="00C83C86">
        <w:rPr>
          <w:rFonts w:asciiTheme="majorHAnsi" w:hAnsiTheme="majorHAnsi" w:cstheme="majorHAnsi"/>
        </w:rPr>
        <w:t>0</w:t>
      </w:r>
      <w:r>
        <w:rPr>
          <w:rFonts w:asciiTheme="majorHAnsi" w:hAnsiTheme="majorHAnsi" w:cstheme="majorHAnsi"/>
        </w:rPr>
        <w:t xml:space="preserve"> About Here</w:t>
      </w:r>
    </w:p>
    <w:p w14:paraId="4DA24D39" w14:textId="7509528C" w:rsidR="008A1725" w:rsidRDefault="008A1725" w:rsidP="008A1725">
      <w:pPr>
        <w:tabs>
          <w:tab w:val="num" w:pos="720"/>
        </w:tabs>
        <w:spacing w:before="240" w:line="360" w:lineRule="auto"/>
        <w:ind w:firstLine="0"/>
        <w:jc w:val="both"/>
        <w:rPr>
          <w:rFonts w:asciiTheme="majorHAnsi" w:hAnsiTheme="majorHAnsi" w:cstheme="majorHAnsi"/>
        </w:rPr>
      </w:pPr>
      <w:r>
        <w:rPr>
          <w:rFonts w:asciiTheme="majorHAnsi" w:hAnsiTheme="majorHAnsi" w:cstheme="majorHAnsi"/>
        </w:rPr>
        <w:t xml:space="preserve">As seen in </w:t>
      </w:r>
      <w:r w:rsidRPr="00C83C86">
        <w:rPr>
          <w:rFonts w:asciiTheme="majorHAnsi" w:hAnsiTheme="majorHAnsi" w:cstheme="majorHAnsi"/>
        </w:rPr>
        <w:t xml:space="preserve">Exhibit </w:t>
      </w:r>
      <w:r w:rsidR="00DE1DC1" w:rsidRPr="00C83C86">
        <w:rPr>
          <w:rFonts w:asciiTheme="majorHAnsi" w:hAnsiTheme="majorHAnsi" w:cstheme="majorHAnsi"/>
        </w:rPr>
        <w:t>8</w:t>
      </w:r>
      <w:r w:rsidRPr="00C83C86">
        <w:rPr>
          <w:rFonts w:asciiTheme="majorHAnsi" w:hAnsiTheme="majorHAnsi" w:cstheme="majorHAnsi"/>
        </w:rPr>
        <w:t>, the</w:t>
      </w:r>
      <w:r>
        <w:rPr>
          <w:rFonts w:asciiTheme="majorHAnsi" w:hAnsiTheme="majorHAnsi" w:cstheme="majorHAnsi"/>
        </w:rPr>
        <w:t xml:space="preserve"> PRD receives a negative weight in the AVM-ES, due to it being inversely correlated with all other metrics, except for the PRB coefficient.  The contribution to the AVM-ES from the PRD, as seen in Exhibit 1</w:t>
      </w:r>
      <w:r w:rsidR="00C83C86">
        <w:rPr>
          <w:rFonts w:asciiTheme="majorHAnsi" w:hAnsiTheme="majorHAnsi" w:cstheme="majorHAnsi"/>
        </w:rPr>
        <w:t>0</w:t>
      </w:r>
      <w:r>
        <w:rPr>
          <w:rFonts w:asciiTheme="majorHAnsi" w:hAnsiTheme="majorHAnsi" w:cstheme="majorHAnsi"/>
        </w:rPr>
        <w:t xml:space="preserve">, while also negative, only differs in the third decimal place for the twelve AVMs. </w:t>
      </w:r>
      <w:r w:rsidR="00694B4F">
        <w:rPr>
          <w:rFonts w:asciiTheme="majorHAnsi" w:hAnsiTheme="majorHAnsi" w:cstheme="majorHAnsi"/>
        </w:rPr>
        <w:t>That is</w:t>
      </w:r>
      <w:r w:rsidR="003B1E9B">
        <w:rPr>
          <w:rFonts w:asciiTheme="majorHAnsi" w:hAnsiTheme="majorHAnsi" w:cstheme="majorHAnsi"/>
        </w:rPr>
        <w:t>, the</w:t>
      </w:r>
      <w:r>
        <w:rPr>
          <w:rFonts w:asciiTheme="majorHAnsi" w:hAnsiTheme="majorHAnsi" w:cstheme="majorHAnsi"/>
        </w:rPr>
        <w:t xml:space="preserve"> PRD’s lack of variability provides little comparative power to differentiate between AVMs, and together with the PRD values being very close to one, indicates that these twelve AVMs do not suffer from vertical inequity</w:t>
      </w:r>
      <w:r w:rsidR="003B1E9B">
        <w:rPr>
          <w:rFonts w:asciiTheme="majorHAnsi" w:hAnsiTheme="majorHAnsi" w:cstheme="majorHAnsi"/>
        </w:rPr>
        <w:t xml:space="preserve"> (see Ecker </w:t>
      </w:r>
      <w:r w:rsidR="00D84ABA">
        <w:rPr>
          <w:rFonts w:asciiTheme="majorHAnsi" w:hAnsiTheme="majorHAnsi" w:cstheme="majorHAnsi"/>
        </w:rPr>
        <w:t>et al.</w:t>
      </w:r>
      <w:r w:rsidR="003B1E9B">
        <w:rPr>
          <w:rFonts w:asciiTheme="majorHAnsi" w:hAnsiTheme="majorHAnsi" w:cstheme="majorHAnsi"/>
        </w:rPr>
        <w:t>, 2021)</w:t>
      </w:r>
      <w:r>
        <w:rPr>
          <w:rFonts w:asciiTheme="majorHAnsi" w:hAnsiTheme="majorHAnsi" w:cstheme="majorHAnsi"/>
        </w:rPr>
        <w:t xml:space="preserve">. </w:t>
      </w:r>
      <w:r w:rsidR="003B1E9B">
        <w:rPr>
          <w:rFonts w:asciiTheme="majorHAnsi" w:hAnsiTheme="majorHAnsi" w:cstheme="majorHAnsi"/>
        </w:rPr>
        <w:t xml:space="preserve"> </w:t>
      </w:r>
      <w:r>
        <w:rPr>
          <w:rFonts w:asciiTheme="majorHAnsi" w:hAnsiTheme="majorHAnsi" w:cstheme="majorHAnsi"/>
        </w:rPr>
        <w:t>The twelve AVMs demonstrate little error and little variability, in terms of the PRD.</w:t>
      </w:r>
      <w:r w:rsidR="00B664FF">
        <w:rPr>
          <w:rFonts w:asciiTheme="majorHAnsi" w:hAnsiTheme="majorHAnsi" w:cstheme="majorHAnsi"/>
        </w:rPr>
        <w:t xml:space="preserve"> </w:t>
      </w:r>
    </w:p>
    <w:p w14:paraId="02DE5B28" w14:textId="3960E581" w:rsidR="008A1725" w:rsidRDefault="008A1725" w:rsidP="006623AD">
      <w:pPr>
        <w:tabs>
          <w:tab w:val="num" w:pos="720"/>
        </w:tabs>
        <w:spacing w:before="240" w:line="360" w:lineRule="auto"/>
        <w:ind w:firstLine="0"/>
        <w:jc w:val="both"/>
        <w:rPr>
          <w:rFonts w:asciiTheme="majorHAnsi" w:hAnsiTheme="majorHAnsi" w:cstheme="majorHAnsi"/>
        </w:rPr>
      </w:pPr>
      <w:r>
        <w:rPr>
          <w:rFonts w:asciiTheme="majorHAnsi" w:hAnsiTheme="majorHAnsi" w:cstheme="majorHAnsi"/>
        </w:rPr>
        <w:t xml:space="preserve">The overall goal of this Clark County analysis is to provide a ranking, using the AVM-ES, of the twelve AVMs to identify </w:t>
      </w:r>
      <w:r w:rsidR="00DC1C7E">
        <w:rPr>
          <w:rFonts w:asciiTheme="majorHAnsi" w:hAnsiTheme="majorHAnsi" w:cstheme="majorHAnsi"/>
        </w:rPr>
        <w:t xml:space="preserve">the </w:t>
      </w:r>
      <w:r>
        <w:rPr>
          <w:rFonts w:asciiTheme="majorHAnsi" w:hAnsiTheme="majorHAnsi" w:cstheme="majorHAnsi"/>
        </w:rPr>
        <w:t>top-performing AVM</w:t>
      </w:r>
      <w:r w:rsidR="008468E0">
        <w:rPr>
          <w:rFonts w:asciiTheme="majorHAnsi" w:hAnsiTheme="majorHAnsi" w:cstheme="majorHAnsi"/>
        </w:rPr>
        <w:t xml:space="preserve"> </w:t>
      </w:r>
      <w:r w:rsidR="00B664FF">
        <w:rPr>
          <w:rFonts w:asciiTheme="majorHAnsi" w:hAnsiTheme="majorHAnsi" w:cstheme="majorHAnsi"/>
        </w:rPr>
        <w:t>when</w:t>
      </w:r>
      <w:r w:rsidR="008468E0">
        <w:rPr>
          <w:rFonts w:asciiTheme="majorHAnsi" w:hAnsiTheme="majorHAnsi" w:cstheme="majorHAnsi"/>
        </w:rPr>
        <w:t xml:space="preserve"> valuing the </w:t>
      </w:r>
      <w:r w:rsidR="008468E0" w:rsidRPr="00FB55EB">
        <w:rPr>
          <w:rFonts w:asciiTheme="majorHAnsi" w:hAnsiTheme="majorHAnsi" w:cstheme="majorHAnsi"/>
        </w:rPr>
        <w:t>1,193 sales</w:t>
      </w:r>
      <w:r w:rsidR="00DC1C7E">
        <w:rPr>
          <w:rFonts w:asciiTheme="majorHAnsi" w:hAnsiTheme="majorHAnsi" w:cstheme="majorHAnsi"/>
        </w:rPr>
        <w:t xml:space="preserve">. As </w:t>
      </w:r>
      <w:r>
        <w:rPr>
          <w:rFonts w:asciiTheme="majorHAnsi" w:hAnsiTheme="majorHAnsi" w:cstheme="majorHAnsi"/>
        </w:rPr>
        <w:t>seen in Exhibit 1</w:t>
      </w:r>
      <w:r w:rsidR="00C83C86">
        <w:rPr>
          <w:rFonts w:asciiTheme="majorHAnsi" w:hAnsiTheme="majorHAnsi" w:cstheme="majorHAnsi"/>
        </w:rPr>
        <w:t>0</w:t>
      </w:r>
      <w:r w:rsidR="00DC1C7E">
        <w:rPr>
          <w:rFonts w:asciiTheme="majorHAnsi" w:hAnsiTheme="majorHAnsi" w:cstheme="majorHAnsi"/>
        </w:rPr>
        <w:t xml:space="preserve">, </w:t>
      </w:r>
      <w:r>
        <w:rPr>
          <w:rFonts w:asciiTheme="majorHAnsi" w:hAnsiTheme="majorHAnsi" w:cstheme="majorHAnsi"/>
        </w:rPr>
        <w:t xml:space="preserve">Model 11 is the top-performing AVM </w:t>
      </w:r>
      <w:r w:rsidR="00DC1C7E">
        <w:rPr>
          <w:rFonts w:asciiTheme="majorHAnsi" w:hAnsiTheme="majorHAnsi" w:cstheme="majorHAnsi"/>
        </w:rPr>
        <w:t>because</w:t>
      </w:r>
      <w:r>
        <w:rPr>
          <w:rFonts w:asciiTheme="majorHAnsi" w:hAnsiTheme="majorHAnsi" w:cstheme="majorHAnsi"/>
        </w:rPr>
        <w:t xml:space="preserve"> it received the lowest AVM-ES value </w:t>
      </w:r>
      <w:r w:rsidR="007F0D08">
        <w:rPr>
          <w:rFonts w:asciiTheme="majorHAnsi" w:hAnsiTheme="majorHAnsi" w:cstheme="majorHAnsi"/>
        </w:rPr>
        <w:t>(</w:t>
      </w:r>
      <w:r>
        <w:rPr>
          <w:rFonts w:asciiTheme="majorHAnsi" w:hAnsiTheme="majorHAnsi" w:cstheme="majorHAnsi"/>
        </w:rPr>
        <w:t>3.88</w:t>
      </w:r>
      <w:r w:rsidR="007F0D08">
        <w:rPr>
          <w:rFonts w:asciiTheme="majorHAnsi" w:hAnsiTheme="majorHAnsi" w:cstheme="majorHAnsi"/>
        </w:rPr>
        <w:t>)</w:t>
      </w:r>
      <w:r>
        <w:rPr>
          <w:rFonts w:asciiTheme="majorHAnsi" w:hAnsiTheme="majorHAnsi" w:cstheme="majorHAnsi"/>
        </w:rPr>
        <w:t xml:space="preserve"> and slightly outperforms Model 2 (AVM-ES for Model 2 is 4.22).  </w:t>
      </w:r>
      <w:bookmarkStart w:id="9" w:name="_Hlk45527173"/>
      <w:r>
        <w:rPr>
          <w:rFonts w:asciiTheme="majorHAnsi" w:hAnsiTheme="majorHAnsi" w:cstheme="majorHAnsi"/>
        </w:rPr>
        <w:t xml:space="preserve">As seen </w:t>
      </w:r>
      <w:r w:rsidRPr="00153F40">
        <w:rPr>
          <w:rFonts w:asciiTheme="majorHAnsi" w:hAnsiTheme="majorHAnsi" w:cstheme="majorHAnsi"/>
        </w:rPr>
        <w:t xml:space="preserve">in Exhibit </w:t>
      </w:r>
      <w:r w:rsidR="00153F40" w:rsidRPr="00153F40">
        <w:rPr>
          <w:rFonts w:asciiTheme="majorHAnsi" w:hAnsiTheme="majorHAnsi" w:cstheme="majorHAnsi"/>
        </w:rPr>
        <w:t>9</w:t>
      </w:r>
      <w:r w:rsidRPr="00153F40">
        <w:rPr>
          <w:rFonts w:asciiTheme="majorHAnsi" w:hAnsiTheme="majorHAnsi" w:cstheme="majorHAnsi"/>
        </w:rPr>
        <w:t>,</w:t>
      </w:r>
      <w:r>
        <w:rPr>
          <w:rFonts w:asciiTheme="majorHAnsi" w:hAnsiTheme="majorHAnsi" w:cstheme="majorHAnsi"/>
        </w:rPr>
        <w:t xml:space="preserve"> Model 11 is more precise than Model 2</w:t>
      </w:r>
      <w:r w:rsidR="00153F40">
        <w:rPr>
          <w:rFonts w:asciiTheme="majorHAnsi" w:hAnsiTheme="majorHAnsi" w:cstheme="majorHAnsi"/>
        </w:rPr>
        <w:t xml:space="preserve"> (Model 11 has a lower </w:t>
      </w:r>
      <w:r w:rsidR="00F51FA4">
        <w:rPr>
          <w:rFonts w:asciiTheme="majorHAnsi" w:hAnsiTheme="majorHAnsi" w:cstheme="majorHAnsi"/>
        </w:rPr>
        <w:t>Observed Standard Deviation</w:t>
      </w:r>
      <w:r w:rsidR="00153F40">
        <w:rPr>
          <w:rFonts w:asciiTheme="majorHAnsi" w:hAnsiTheme="majorHAnsi" w:cstheme="majorHAnsi"/>
        </w:rPr>
        <w:t xml:space="preserve"> and MAPE)</w:t>
      </w:r>
      <w:r>
        <w:rPr>
          <w:rFonts w:asciiTheme="majorHAnsi" w:hAnsiTheme="majorHAnsi" w:cstheme="majorHAnsi"/>
        </w:rPr>
        <w:t>, but Model 2 is more accurate</w:t>
      </w:r>
      <w:r w:rsidR="00153F40">
        <w:rPr>
          <w:rFonts w:asciiTheme="majorHAnsi" w:hAnsiTheme="majorHAnsi" w:cstheme="majorHAnsi"/>
        </w:rPr>
        <w:t xml:space="preserve"> (Model 2 has its mean percentage sales error closer to zero)</w:t>
      </w:r>
      <w:r>
        <w:rPr>
          <w:rFonts w:asciiTheme="majorHAnsi" w:hAnsiTheme="majorHAnsi" w:cstheme="majorHAnsi"/>
        </w:rPr>
        <w:t xml:space="preserve">. </w:t>
      </w:r>
      <w:bookmarkEnd w:id="9"/>
      <w:r w:rsidR="00153F40">
        <w:rPr>
          <w:rFonts w:asciiTheme="majorHAnsi" w:hAnsiTheme="majorHAnsi" w:cstheme="majorHAnsi"/>
        </w:rPr>
        <w:t>Overall</w:t>
      </w:r>
      <w:r>
        <w:rPr>
          <w:rFonts w:asciiTheme="majorHAnsi" w:hAnsiTheme="majorHAnsi" w:cstheme="majorHAnsi"/>
        </w:rPr>
        <w:t xml:space="preserve">, Model 11 outperforms Model 2 on eight of the ten individual AVM Performance Metrics, </w:t>
      </w:r>
      <w:r>
        <w:rPr>
          <w:rFonts w:asciiTheme="majorHAnsi" w:hAnsiTheme="majorHAnsi" w:cstheme="majorHAnsi"/>
        </w:rPr>
        <w:lastRenderedPageBreak/>
        <w:t xml:space="preserve">while Model 2 outperforms Model 11 in terms of outliers (the combined contribution of the Failure Rate, Failure Magnitude and Failure MAPE, seen in </w:t>
      </w:r>
      <w:r w:rsidRPr="00C83C86">
        <w:rPr>
          <w:rFonts w:asciiTheme="majorHAnsi" w:hAnsiTheme="majorHAnsi" w:cstheme="majorHAnsi"/>
        </w:rPr>
        <w:t>Exhibit 1</w:t>
      </w:r>
      <w:r w:rsidR="00C83C86" w:rsidRPr="00C83C86">
        <w:rPr>
          <w:rFonts w:asciiTheme="majorHAnsi" w:hAnsiTheme="majorHAnsi" w:cstheme="majorHAnsi"/>
        </w:rPr>
        <w:t>0</w:t>
      </w:r>
      <w:r w:rsidRPr="00C83C86">
        <w:rPr>
          <w:rFonts w:asciiTheme="majorHAnsi" w:hAnsiTheme="majorHAnsi" w:cstheme="majorHAnsi"/>
        </w:rPr>
        <w:t xml:space="preserve"> and</w:t>
      </w:r>
      <w:r>
        <w:rPr>
          <w:rFonts w:asciiTheme="majorHAnsi" w:hAnsiTheme="majorHAnsi" w:cstheme="majorHAnsi"/>
        </w:rPr>
        <w:t xml:space="preserve"> discussed above). However, the AVM-ES incorporates the magnitude of each marginal metric, when comparing Models 2 and 11. Lastly, </w:t>
      </w:r>
      <w:r w:rsidR="00601DBE">
        <w:rPr>
          <w:rFonts w:asciiTheme="majorHAnsi" w:hAnsiTheme="majorHAnsi" w:cstheme="majorHAnsi"/>
        </w:rPr>
        <w:t xml:space="preserve">Models </w:t>
      </w:r>
      <w:r>
        <w:rPr>
          <w:rFonts w:asciiTheme="majorHAnsi" w:hAnsiTheme="majorHAnsi" w:cstheme="majorHAnsi"/>
        </w:rPr>
        <w:t xml:space="preserve">8 and 9 perform worst, as they have the two highest values of the AVM-ES and the highest values for each of the following marginal </w:t>
      </w:r>
      <w:r w:rsidR="00C213C1">
        <w:rPr>
          <w:rFonts w:asciiTheme="majorHAnsi" w:hAnsiTheme="majorHAnsi" w:cstheme="majorHAnsi"/>
        </w:rPr>
        <w:t>metrics</w:t>
      </w:r>
      <w:r>
        <w:rPr>
          <w:rFonts w:asciiTheme="majorHAnsi" w:hAnsiTheme="majorHAnsi" w:cstheme="majorHAnsi"/>
        </w:rPr>
        <w:t>: the mean percentage sales error (in absolute value), MAPE, FSD, Failure Rate, COV and COD.</w:t>
      </w:r>
    </w:p>
    <w:p w14:paraId="06A4903D" w14:textId="46190A24" w:rsidR="0008630A" w:rsidRDefault="000875AC" w:rsidP="000875AC">
      <w:pPr>
        <w:tabs>
          <w:tab w:val="num" w:pos="720"/>
        </w:tabs>
        <w:spacing w:before="240" w:after="240" w:line="360" w:lineRule="auto"/>
        <w:ind w:firstLine="0"/>
        <w:jc w:val="both"/>
        <w:rPr>
          <w:rFonts w:cstheme="minorHAnsi"/>
        </w:rPr>
      </w:pPr>
      <w:bookmarkStart w:id="10" w:name="_Hlk71193160"/>
      <w:r>
        <w:rPr>
          <w:rFonts w:asciiTheme="majorHAnsi" w:hAnsiTheme="majorHAnsi" w:cstheme="majorHAnsi"/>
        </w:rPr>
        <w:t xml:space="preserve">Lastly, </w:t>
      </w:r>
      <w:r w:rsidR="00635AC2">
        <w:rPr>
          <w:rFonts w:cstheme="minorHAnsi"/>
        </w:rPr>
        <w:t>we show how the Observed Standard Deviation, together with additional AVM Performance Metrics, are used</w:t>
      </w:r>
      <w:r w:rsidR="00225255">
        <w:rPr>
          <w:rFonts w:cstheme="minorHAnsi"/>
        </w:rPr>
        <w:t xml:space="preserve"> </w:t>
      </w:r>
      <w:r w:rsidR="00635AC2">
        <w:rPr>
          <w:rFonts w:cstheme="minorHAnsi"/>
        </w:rPr>
        <w:t xml:space="preserve">to </w:t>
      </w:r>
      <w:r w:rsidR="0008630A">
        <w:rPr>
          <w:rFonts w:cstheme="minorHAnsi"/>
        </w:rPr>
        <w:t xml:space="preserve">corroborate the </w:t>
      </w:r>
      <w:r w:rsidR="007F781F" w:rsidRPr="00D04E63">
        <w:rPr>
          <w:rFonts w:cstheme="minorHAnsi"/>
          <w:i/>
          <w:iCs/>
        </w:rPr>
        <w:t>collective</w:t>
      </w:r>
      <w:r w:rsidR="007F781F">
        <w:rPr>
          <w:rFonts w:cstheme="minorHAnsi"/>
        </w:rPr>
        <w:t xml:space="preserve"> </w:t>
      </w:r>
      <w:r w:rsidR="00A47ED9">
        <w:rPr>
          <w:rFonts w:cstheme="minorHAnsi"/>
        </w:rPr>
        <w:t>vendor</w:t>
      </w:r>
      <w:r w:rsidR="00FB35B7">
        <w:rPr>
          <w:rFonts w:cstheme="minorHAnsi"/>
        </w:rPr>
        <w:t>-</w:t>
      </w:r>
      <w:r w:rsidR="00A47ED9">
        <w:rPr>
          <w:rFonts w:cstheme="minorHAnsi"/>
        </w:rPr>
        <w:t>reported</w:t>
      </w:r>
      <w:r w:rsidR="0008630A">
        <w:rPr>
          <w:rFonts w:cstheme="minorHAnsi"/>
        </w:rPr>
        <w:t xml:space="preserve"> FSD</w:t>
      </w:r>
      <w:r w:rsidR="007F781F">
        <w:rPr>
          <w:rFonts w:cstheme="minorHAnsi"/>
        </w:rPr>
        <w:t>s</w:t>
      </w:r>
      <w:r w:rsidR="0008630A">
        <w:rPr>
          <w:rFonts w:cstheme="minorHAnsi"/>
        </w:rPr>
        <w:t xml:space="preserve"> </w:t>
      </w:r>
      <w:r w:rsidR="005E2C97" w:rsidRPr="00F51FA4">
        <w:rPr>
          <w:rFonts w:cstheme="minorHAnsi"/>
        </w:rPr>
        <w:t xml:space="preserve">in a </w:t>
      </w:r>
      <w:r w:rsidR="00635AC2">
        <w:rPr>
          <w:rFonts w:cstheme="minorHAnsi"/>
        </w:rPr>
        <w:t>particular</w:t>
      </w:r>
      <w:r w:rsidR="005E2C97" w:rsidRPr="00F51FA4">
        <w:rPr>
          <w:rFonts w:cstheme="minorHAnsi"/>
        </w:rPr>
        <w:t xml:space="preserve"> </w:t>
      </w:r>
      <w:r w:rsidR="00635AC2">
        <w:rPr>
          <w:rFonts w:cstheme="minorHAnsi"/>
        </w:rPr>
        <w:t>housing market</w:t>
      </w:r>
      <w:r w:rsidR="005E2C97" w:rsidRPr="00F51FA4">
        <w:rPr>
          <w:rFonts w:cstheme="minorHAnsi"/>
        </w:rPr>
        <w:t>.</w:t>
      </w:r>
      <w:r w:rsidR="005E2C97">
        <w:rPr>
          <w:rFonts w:cstheme="minorHAnsi"/>
        </w:rPr>
        <w:t xml:space="preserve"> </w:t>
      </w:r>
      <w:r w:rsidR="0008630A">
        <w:rPr>
          <w:rFonts w:cstheme="minorHAnsi"/>
        </w:rPr>
        <w:t xml:space="preserve"> </w:t>
      </w:r>
      <w:r w:rsidRPr="000875AC">
        <w:rPr>
          <w:rFonts w:cstheme="minorHAnsi"/>
        </w:rPr>
        <w:t>Exhibit 11 sho</w:t>
      </w:r>
      <w:r>
        <w:rPr>
          <w:rFonts w:cstheme="minorHAnsi"/>
        </w:rPr>
        <w:t>ws</w:t>
      </w:r>
      <w:r w:rsidRPr="00F51FA4">
        <w:rPr>
          <w:rFonts w:cstheme="minorHAnsi"/>
        </w:rPr>
        <w:t xml:space="preserve"> how </w:t>
      </w:r>
      <w:r>
        <w:rPr>
          <w:rFonts w:cstheme="minorHAnsi"/>
        </w:rPr>
        <w:t xml:space="preserve">AVM performance is </w:t>
      </w:r>
      <w:r w:rsidR="00225255">
        <w:rPr>
          <w:rFonts w:cstheme="minorHAnsi"/>
        </w:rPr>
        <w:t xml:space="preserve">assessed </w:t>
      </w:r>
      <w:r>
        <w:rPr>
          <w:rFonts w:cstheme="minorHAnsi"/>
        </w:rPr>
        <w:t>for 12 AVMs,</w:t>
      </w:r>
      <w:r w:rsidR="00D04E63">
        <w:rPr>
          <w:rFonts w:cstheme="minorHAnsi"/>
        </w:rPr>
        <w:t xml:space="preserve"> by vendor-reported FSD,</w:t>
      </w:r>
      <w:r w:rsidR="00225255">
        <w:rPr>
          <w:rFonts w:cstheme="minorHAnsi"/>
        </w:rPr>
        <w:t xml:space="preserve"> using </w:t>
      </w:r>
      <w:r w:rsidR="00CB000D">
        <w:rPr>
          <w:rFonts w:cstheme="minorHAnsi"/>
        </w:rPr>
        <w:t>the</w:t>
      </w:r>
      <w:r>
        <w:rPr>
          <w:rFonts w:cstheme="minorHAnsi"/>
        </w:rPr>
        <w:t xml:space="preserve"> </w:t>
      </w:r>
      <w:r w:rsidRPr="00F51FA4">
        <w:rPr>
          <w:rFonts w:cstheme="minorHAnsi"/>
        </w:rPr>
        <w:t xml:space="preserve">1,193 </w:t>
      </w:r>
      <w:r w:rsidR="00225255">
        <w:rPr>
          <w:rFonts w:cstheme="minorHAnsi"/>
        </w:rPr>
        <w:t>sold houses</w:t>
      </w:r>
      <w:r w:rsidR="00225255" w:rsidRPr="00F51FA4">
        <w:rPr>
          <w:rFonts w:cstheme="minorHAnsi"/>
        </w:rPr>
        <w:t xml:space="preserve"> </w:t>
      </w:r>
      <w:r w:rsidRPr="00F51FA4">
        <w:rPr>
          <w:rFonts w:cstheme="minorHAnsi"/>
        </w:rPr>
        <w:t>in Clark County, Nevada</w:t>
      </w:r>
      <w:r>
        <w:rPr>
          <w:rFonts w:cstheme="minorHAnsi"/>
        </w:rPr>
        <w:t xml:space="preserve">. </w:t>
      </w:r>
      <w:r w:rsidR="00635AC2">
        <w:rPr>
          <w:rFonts w:cstheme="minorHAnsi"/>
        </w:rPr>
        <w:t xml:space="preserve"> </w:t>
      </w:r>
      <w:r>
        <w:rPr>
          <w:rFonts w:cstheme="minorHAnsi"/>
        </w:rPr>
        <w:t>In total, 14,316 AVM valuations (12 times 1,193)</w:t>
      </w:r>
      <w:r w:rsidR="00225255">
        <w:rPr>
          <w:rFonts w:cstheme="minorHAnsi"/>
        </w:rPr>
        <w:t>,</w:t>
      </w:r>
      <w:r>
        <w:rPr>
          <w:rFonts w:cstheme="minorHAnsi"/>
        </w:rPr>
        <w:t xml:space="preserve"> each have a vendor-reported FSD ranging from 1 to </w:t>
      </w:r>
      <w:r w:rsidR="00246BE4">
        <w:rPr>
          <w:rFonts w:cstheme="minorHAnsi"/>
        </w:rPr>
        <w:t>36</w:t>
      </w:r>
      <w:r w:rsidR="00F952EF">
        <w:rPr>
          <w:rFonts w:cstheme="minorHAnsi"/>
        </w:rPr>
        <w:t xml:space="preserve"> </w:t>
      </w:r>
      <w:r w:rsidR="002A0F7F">
        <w:rPr>
          <w:rFonts w:cstheme="minorHAnsi"/>
        </w:rPr>
        <w:t>(</w:t>
      </w:r>
      <w:r w:rsidR="0060657B">
        <w:rPr>
          <w:rFonts w:cstheme="minorHAnsi"/>
        </w:rPr>
        <w:t>d</w:t>
      </w:r>
      <w:r w:rsidR="002A0F7F">
        <w:rPr>
          <w:rFonts w:cstheme="minorHAnsi"/>
        </w:rPr>
        <w:t>epicted</w:t>
      </w:r>
      <w:r w:rsidR="00D04E63">
        <w:rPr>
          <w:rFonts w:cstheme="minorHAnsi"/>
        </w:rPr>
        <w:t xml:space="preserve"> in Exhibit 11</w:t>
      </w:r>
      <w:r w:rsidR="002A0F7F">
        <w:rPr>
          <w:rFonts w:cstheme="minorHAnsi"/>
        </w:rPr>
        <w:t xml:space="preserve"> as 1-21+)</w:t>
      </w:r>
      <w:r>
        <w:rPr>
          <w:rFonts w:cstheme="minorHAnsi"/>
        </w:rPr>
        <w:t xml:space="preserve">. The 14,316 valuations are </w:t>
      </w:r>
      <w:r w:rsidR="00CB000D">
        <w:rPr>
          <w:rFonts w:cstheme="minorHAnsi"/>
        </w:rPr>
        <w:t>aggregated</w:t>
      </w:r>
      <w:r w:rsidRPr="00F51FA4">
        <w:rPr>
          <w:rFonts w:cstheme="minorHAnsi"/>
        </w:rPr>
        <w:t xml:space="preserve"> by vendor-reported FSD</w:t>
      </w:r>
      <w:r>
        <w:rPr>
          <w:rFonts w:cstheme="minorHAnsi"/>
        </w:rPr>
        <w:t>,</w:t>
      </w:r>
      <w:r w:rsidRPr="00F51FA4">
        <w:rPr>
          <w:rFonts w:cstheme="minorHAnsi"/>
        </w:rPr>
        <w:t xml:space="preserve"> and </w:t>
      </w:r>
      <w:r w:rsidR="00225255">
        <w:rPr>
          <w:rFonts w:cstheme="minorHAnsi"/>
        </w:rPr>
        <w:t xml:space="preserve">an </w:t>
      </w:r>
      <w:r w:rsidRPr="00F51FA4">
        <w:rPr>
          <w:rFonts w:cstheme="minorHAnsi"/>
        </w:rPr>
        <w:t>Observed Standard Deviation</w:t>
      </w:r>
      <w:r w:rsidR="00FB35B7">
        <w:rPr>
          <w:rStyle w:val="FootnoteReference"/>
          <w:rFonts w:cstheme="minorHAnsi"/>
        </w:rPr>
        <w:footnoteReference w:id="33"/>
      </w:r>
      <w:r w:rsidRPr="00F51FA4">
        <w:rPr>
          <w:rFonts w:cstheme="minorHAnsi"/>
        </w:rPr>
        <w:t xml:space="preserve"> </w:t>
      </w:r>
      <w:r w:rsidR="00CB000D">
        <w:rPr>
          <w:rFonts w:cstheme="minorHAnsi"/>
        </w:rPr>
        <w:t>i</w:t>
      </w:r>
      <w:r w:rsidRPr="00F51FA4">
        <w:rPr>
          <w:rFonts w:cstheme="minorHAnsi"/>
        </w:rPr>
        <w:t xml:space="preserve">s calculated for </w:t>
      </w:r>
      <w:r>
        <w:rPr>
          <w:rFonts w:cstheme="minorHAnsi"/>
        </w:rPr>
        <w:t xml:space="preserve">all sales having a common </w:t>
      </w:r>
      <w:r w:rsidRPr="00F51FA4">
        <w:rPr>
          <w:rFonts w:cstheme="minorHAnsi"/>
        </w:rPr>
        <w:t xml:space="preserve">vendor-reported FSD.  </w:t>
      </w:r>
    </w:p>
    <w:p w14:paraId="6995344D" w14:textId="77777777" w:rsidR="00EA2818" w:rsidRDefault="00EA2818" w:rsidP="00EA2818">
      <w:pPr>
        <w:tabs>
          <w:tab w:val="num" w:pos="720"/>
        </w:tabs>
        <w:spacing w:after="240" w:line="360" w:lineRule="auto"/>
        <w:ind w:firstLine="0"/>
        <w:jc w:val="center"/>
        <w:rPr>
          <w:rFonts w:cstheme="minorHAnsi"/>
        </w:rPr>
      </w:pPr>
      <w:r w:rsidRPr="000875AC">
        <w:rPr>
          <w:rFonts w:cstheme="minorHAnsi"/>
        </w:rPr>
        <w:t>Exhibit 11 A</w:t>
      </w:r>
      <w:r>
        <w:rPr>
          <w:rFonts w:cstheme="minorHAnsi"/>
        </w:rPr>
        <w:t>bout Here</w:t>
      </w:r>
    </w:p>
    <w:p w14:paraId="502C4B69" w14:textId="503C9448" w:rsidR="005B4B97" w:rsidRDefault="000875AC" w:rsidP="00CA664C">
      <w:pPr>
        <w:tabs>
          <w:tab w:val="num" w:pos="720"/>
        </w:tabs>
        <w:spacing w:line="360" w:lineRule="auto"/>
        <w:ind w:firstLine="0"/>
        <w:jc w:val="both"/>
        <w:rPr>
          <w:rFonts w:cstheme="minorHAnsi"/>
        </w:rPr>
      </w:pPr>
      <w:r w:rsidRPr="00F51FA4">
        <w:rPr>
          <w:rFonts w:cstheme="minorHAnsi"/>
        </w:rPr>
        <w:t xml:space="preserve">As </w:t>
      </w:r>
      <w:r w:rsidR="00225255">
        <w:rPr>
          <w:rFonts w:cstheme="minorHAnsi"/>
        </w:rPr>
        <w:t>reported</w:t>
      </w:r>
      <w:r w:rsidR="00225255" w:rsidRPr="00F51FA4">
        <w:rPr>
          <w:rFonts w:cstheme="minorHAnsi"/>
        </w:rPr>
        <w:t xml:space="preserve"> </w:t>
      </w:r>
      <w:r w:rsidRPr="00F51FA4">
        <w:rPr>
          <w:rFonts w:cstheme="minorHAnsi"/>
        </w:rPr>
        <w:t>in Exhibit</w:t>
      </w:r>
      <w:r w:rsidR="00CB000D">
        <w:rPr>
          <w:rFonts w:cstheme="minorHAnsi"/>
        </w:rPr>
        <w:t xml:space="preserve"> 11</w:t>
      </w:r>
      <w:r w:rsidRPr="00F51FA4">
        <w:rPr>
          <w:rFonts w:cstheme="minorHAnsi"/>
        </w:rPr>
        <w:t xml:space="preserve">, </w:t>
      </w:r>
      <w:r w:rsidR="005B4B97">
        <w:rPr>
          <w:rFonts w:cstheme="minorHAnsi"/>
        </w:rPr>
        <w:t>the vendor-reported FSD value</w:t>
      </w:r>
      <w:r w:rsidR="00CA664C">
        <w:rPr>
          <w:rFonts w:cstheme="minorHAnsi"/>
        </w:rPr>
        <w:t>s</w:t>
      </w:r>
      <w:r w:rsidR="005B4B97">
        <w:rPr>
          <w:rFonts w:cstheme="minorHAnsi"/>
        </w:rPr>
        <w:t xml:space="preserve"> of </w:t>
      </w:r>
      <w:r w:rsidR="00ED362C">
        <w:rPr>
          <w:rFonts w:cstheme="minorHAnsi"/>
        </w:rPr>
        <w:t xml:space="preserve">8, 9, and </w:t>
      </w:r>
      <w:r w:rsidR="005B4B97">
        <w:rPr>
          <w:rFonts w:cstheme="minorHAnsi"/>
        </w:rPr>
        <w:t>11</w:t>
      </w:r>
      <w:r w:rsidR="00CA664C">
        <w:rPr>
          <w:rFonts w:cstheme="minorHAnsi"/>
        </w:rPr>
        <w:t xml:space="preserve"> </w:t>
      </w:r>
      <w:r w:rsidR="00ED362C">
        <w:rPr>
          <w:rFonts w:cstheme="minorHAnsi"/>
        </w:rPr>
        <w:t xml:space="preserve">are statistically indistinguishable from their </w:t>
      </w:r>
      <w:r w:rsidR="00223882">
        <w:rPr>
          <w:rFonts w:cstheme="minorHAnsi"/>
        </w:rPr>
        <w:t xml:space="preserve">respective </w:t>
      </w:r>
      <w:r w:rsidR="00ED362C">
        <w:rPr>
          <w:rFonts w:cstheme="minorHAnsi"/>
        </w:rPr>
        <w:t>Observed Standard Deviation</w:t>
      </w:r>
      <w:r w:rsidR="00223882">
        <w:rPr>
          <w:rFonts w:cstheme="minorHAnsi"/>
        </w:rPr>
        <w:t>s</w:t>
      </w:r>
      <w:r w:rsidR="00776AB3">
        <w:rPr>
          <w:rFonts w:cstheme="minorHAnsi"/>
        </w:rPr>
        <w:t xml:space="preserve">.  </w:t>
      </w:r>
      <w:r w:rsidR="00CA664C">
        <w:rPr>
          <w:rFonts w:cstheme="minorHAnsi"/>
        </w:rPr>
        <w:t>In other words</w:t>
      </w:r>
      <w:r w:rsidR="00CA664C" w:rsidRPr="00CA664C">
        <w:rPr>
          <w:rFonts w:cstheme="minorHAnsi"/>
        </w:rPr>
        <w:t xml:space="preserve">, using </w:t>
      </w:r>
      <w:r w:rsidR="00EC45CF">
        <w:rPr>
          <w:rFonts w:cstheme="minorHAnsi"/>
        </w:rPr>
        <w:t>a high degree of statistical confidence (</w:t>
      </w:r>
      <w:r w:rsidR="00CA664C" w:rsidRPr="00CA664C">
        <w:rPr>
          <w:rFonts w:cstheme="minorHAnsi"/>
        </w:rPr>
        <w:t>α = 0.01</w:t>
      </w:r>
      <w:r w:rsidR="00EC45CF">
        <w:rPr>
          <w:rFonts w:cstheme="minorHAnsi"/>
        </w:rPr>
        <w:t>)</w:t>
      </w:r>
      <w:r w:rsidR="00CA664C" w:rsidRPr="00CA664C">
        <w:rPr>
          <w:rFonts w:cstheme="minorHAnsi"/>
        </w:rPr>
        <w:t xml:space="preserve">, only </w:t>
      </w:r>
      <w:r w:rsidR="00CA664C">
        <w:rPr>
          <w:rFonts w:cstheme="minorHAnsi"/>
        </w:rPr>
        <w:t xml:space="preserve">the </w:t>
      </w:r>
      <w:r w:rsidR="00CA664C" w:rsidRPr="00CA664C">
        <w:rPr>
          <w:rFonts w:cstheme="minorHAnsi"/>
        </w:rPr>
        <w:t>vendor-reported FSDs of 8, 9 and 11</w:t>
      </w:r>
      <w:r w:rsidR="00ED362C">
        <w:rPr>
          <w:rFonts w:cstheme="minorHAnsi"/>
        </w:rPr>
        <w:t xml:space="preserve"> </w:t>
      </w:r>
      <w:r w:rsidR="00CA664C" w:rsidRPr="00CA664C">
        <w:rPr>
          <w:rFonts w:cstheme="minorHAnsi"/>
        </w:rPr>
        <w:t>are deemed to be statistically accurate</w:t>
      </w:r>
      <w:r w:rsidR="00CA664C">
        <w:rPr>
          <w:rFonts w:cstheme="minorHAnsi"/>
        </w:rPr>
        <w:t xml:space="preserve">. </w:t>
      </w:r>
      <w:r w:rsidR="005B4B97">
        <w:rPr>
          <w:rFonts w:cstheme="minorHAnsi"/>
        </w:rPr>
        <w:t xml:space="preserve"> In addition, </w:t>
      </w:r>
      <w:r w:rsidRPr="00F51FA4">
        <w:rPr>
          <w:rFonts w:cstheme="minorHAnsi"/>
        </w:rPr>
        <w:t xml:space="preserve">the lower </w:t>
      </w:r>
      <w:r>
        <w:rPr>
          <w:rFonts w:cstheme="minorHAnsi"/>
        </w:rPr>
        <w:t xml:space="preserve">vendor-reported </w:t>
      </w:r>
      <w:r w:rsidRPr="00F51FA4">
        <w:rPr>
          <w:rFonts w:cstheme="minorHAnsi"/>
        </w:rPr>
        <w:t>FSDs</w:t>
      </w:r>
      <w:r>
        <w:rPr>
          <w:rFonts w:cstheme="minorHAnsi"/>
        </w:rPr>
        <w:t xml:space="preserve">, </w:t>
      </w:r>
      <w:r w:rsidR="00CB000D">
        <w:rPr>
          <w:rFonts w:cstheme="minorHAnsi"/>
        </w:rPr>
        <w:t xml:space="preserve">ranging </w:t>
      </w:r>
      <w:r>
        <w:rPr>
          <w:rFonts w:cstheme="minorHAnsi"/>
        </w:rPr>
        <w:t xml:space="preserve">from </w:t>
      </w:r>
      <w:r w:rsidRPr="00F51FA4">
        <w:rPr>
          <w:rFonts w:cstheme="minorHAnsi"/>
        </w:rPr>
        <w:t>1-7</w:t>
      </w:r>
      <w:r>
        <w:rPr>
          <w:rFonts w:cstheme="minorHAnsi"/>
        </w:rPr>
        <w:t>,</w:t>
      </w:r>
      <w:r w:rsidRPr="00F51FA4">
        <w:rPr>
          <w:rFonts w:cstheme="minorHAnsi"/>
        </w:rPr>
        <w:t xml:space="preserve"> </w:t>
      </w:r>
      <w:r w:rsidR="00CB000D">
        <w:rPr>
          <w:rFonts w:cstheme="minorHAnsi"/>
        </w:rPr>
        <w:t>a</w:t>
      </w:r>
      <w:r w:rsidRPr="00F51FA4">
        <w:rPr>
          <w:rFonts w:cstheme="minorHAnsi"/>
        </w:rPr>
        <w:t xml:space="preserve">re </w:t>
      </w:r>
      <w:r w:rsidR="001D7B22">
        <w:rPr>
          <w:rFonts w:cstheme="minorHAnsi"/>
        </w:rPr>
        <w:t xml:space="preserve">statistically significantly </w:t>
      </w:r>
      <w:r w:rsidRPr="00F51FA4">
        <w:rPr>
          <w:rFonts w:cstheme="minorHAnsi"/>
        </w:rPr>
        <w:t>understated</w:t>
      </w:r>
      <w:r w:rsidR="00CB000D">
        <w:rPr>
          <w:rFonts w:cstheme="minorHAnsi"/>
        </w:rPr>
        <w:t xml:space="preserve">, </w:t>
      </w:r>
      <w:r w:rsidR="001D7B22">
        <w:rPr>
          <w:rFonts w:cstheme="minorHAnsi"/>
        </w:rPr>
        <w:t xml:space="preserve">when </w:t>
      </w:r>
      <w:r w:rsidR="00CB000D">
        <w:rPr>
          <w:rFonts w:cstheme="minorHAnsi"/>
        </w:rPr>
        <w:t>compared to the</w:t>
      </w:r>
      <w:r w:rsidR="005B4B97">
        <w:rPr>
          <w:rFonts w:cstheme="minorHAnsi"/>
        </w:rPr>
        <w:t>ir</w:t>
      </w:r>
      <w:r w:rsidR="00CB000D">
        <w:rPr>
          <w:rFonts w:cstheme="minorHAnsi"/>
        </w:rPr>
        <w:t xml:space="preserve"> </w:t>
      </w:r>
      <w:r w:rsidR="005B4B97">
        <w:rPr>
          <w:rFonts w:cstheme="minorHAnsi"/>
        </w:rPr>
        <w:t xml:space="preserve">respective </w:t>
      </w:r>
      <w:r w:rsidR="00CB000D">
        <w:rPr>
          <w:rFonts w:cstheme="minorHAnsi"/>
        </w:rPr>
        <w:t>Observed Standard Deviation</w:t>
      </w:r>
      <w:r w:rsidR="005B4B97">
        <w:rPr>
          <w:rFonts w:cstheme="minorHAnsi"/>
        </w:rPr>
        <w:t>s</w:t>
      </w:r>
      <w:r w:rsidR="00CB000D">
        <w:rPr>
          <w:rFonts w:cstheme="minorHAnsi"/>
        </w:rPr>
        <w:t>. Note that</w:t>
      </w:r>
      <w:r w:rsidR="0008630A">
        <w:rPr>
          <w:rFonts w:cstheme="minorHAnsi"/>
        </w:rPr>
        <w:t xml:space="preserve"> the majority (</w:t>
      </w:r>
      <w:r w:rsidR="00CB000D">
        <w:rPr>
          <w:rFonts w:cstheme="minorHAnsi"/>
        </w:rPr>
        <w:t>10,320 or 72</w:t>
      </w:r>
      <w:r w:rsidR="006D21D3">
        <w:rPr>
          <w:rFonts w:cstheme="minorHAnsi"/>
        </w:rPr>
        <w:t>.1</w:t>
      </w:r>
      <w:r w:rsidR="00124671">
        <w:rPr>
          <w:rFonts w:cstheme="minorHAnsi"/>
        </w:rPr>
        <w:t>%</w:t>
      </w:r>
      <w:r w:rsidR="0008630A">
        <w:rPr>
          <w:rFonts w:cstheme="minorHAnsi"/>
        </w:rPr>
        <w:t>)</w:t>
      </w:r>
      <w:r w:rsidR="00CB000D">
        <w:rPr>
          <w:rFonts w:cstheme="minorHAnsi"/>
        </w:rPr>
        <w:t xml:space="preserve"> of the 14,316 valuations in Clark County have vendor-reported FSD</w:t>
      </w:r>
      <w:r w:rsidR="0008630A">
        <w:rPr>
          <w:rFonts w:cstheme="minorHAnsi"/>
        </w:rPr>
        <w:t>s</w:t>
      </w:r>
      <w:r w:rsidR="00CB000D">
        <w:rPr>
          <w:rFonts w:cstheme="minorHAnsi"/>
        </w:rPr>
        <w:t xml:space="preserve"> ranging between 1 and 7. </w:t>
      </w:r>
      <w:r w:rsidR="005B4B97">
        <w:rPr>
          <w:rFonts w:cstheme="minorHAnsi"/>
        </w:rPr>
        <w:t>In addition, t</w:t>
      </w:r>
      <w:r w:rsidR="005B4B97" w:rsidRPr="00F51FA4">
        <w:rPr>
          <w:rFonts w:cstheme="minorHAnsi"/>
        </w:rPr>
        <w:t>he PE</w:t>
      </w:r>
      <w:r w:rsidR="005B4B97">
        <w:rPr>
          <w:rFonts w:cstheme="minorHAnsi"/>
        </w:rPr>
        <w:t>10</w:t>
      </w:r>
      <w:r w:rsidR="005B4B97" w:rsidRPr="00F51FA4">
        <w:rPr>
          <w:rFonts w:cstheme="minorHAnsi"/>
        </w:rPr>
        <w:t xml:space="preserve"> </w:t>
      </w:r>
      <w:r w:rsidR="005B4B97">
        <w:rPr>
          <w:rFonts w:cstheme="minorHAnsi"/>
        </w:rPr>
        <w:t>metric, which measures the percentage of AVM valuations within 10 percent of selling prices, ranges from 85 to 100 percent for all AVM valuations with vendor-reported FSD between 1 and 7. Also, the RT20, which measures th</w:t>
      </w:r>
      <w:r w:rsidR="0060657B">
        <w:rPr>
          <w:rFonts w:cstheme="minorHAnsi"/>
        </w:rPr>
        <w:t>e</w:t>
      </w:r>
      <w:r w:rsidR="005B4B97">
        <w:rPr>
          <w:rFonts w:cstheme="minorHAnsi"/>
        </w:rPr>
        <w:t xml:space="preserve"> percentage of AVM valuations exceeding selling prices by 20 percent or more, ranges from 0.55 to 1.18</w:t>
      </w:r>
      <w:r w:rsidR="00ED362C">
        <w:rPr>
          <w:rFonts w:cstheme="minorHAnsi"/>
        </w:rPr>
        <w:t>, for these same vendor-reported FSDs</w:t>
      </w:r>
      <w:r w:rsidR="005B4B97">
        <w:rPr>
          <w:rFonts w:cstheme="minorHAnsi"/>
        </w:rPr>
        <w:t xml:space="preserve">. </w:t>
      </w:r>
    </w:p>
    <w:p w14:paraId="219E3144" w14:textId="00CF54EB" w:rsidR="00EA2818" w:rsidRDefault="005B4B97" w:rsidP="000A2A90">
      <w:pPr>
        <w:tabs>
          <w:tab w:val="num" w:pos="720"/>
        </w:tabs>
        <w:spacing w:before="240" w:line="360" w:lineRule="auto"/>
        <w:ind w:firstLine="0"/>
        <w:jc w:val="both"/>
        <w:rPr>
          <w:rFonts w:cstheme="minorHAnsi"/>
        </w:rPr>
      </w:pPr>
      <w:r>
        <w:rPr>
          <w:rFonts w:cstheme="minorHAnsi"/>
        </w:rPr>
        <w:lastRenderedPageBreak/>
        <w:t>In contrast</w:t>
      </w:r>
      <w:r w:rsidR="00CB000D">
        <w:rPr>
          <w:rFonts w:cstheme="minorHAnsi"/>
        </w:rPr>
        <w:t xml:space="preserve">, </w:t>
      </w:r>
      <w:r w:rsidR="000875AC" w:rsidRPr="00F51FA4">
        <w:rPr>
          <w:rFonts w:cstheme="minorHAnsi"/>
        </w:rPr>
        <w:t xml:space="preserve">the larger </w:t>
      </w:r>
      <w:r w:rsidR="000875AC">
        <w:rPr>
          <w:rFonts w:cstheme="minorHAnsi"/>
        </w:rPr>
        <w:t xml:space="preserve">vendor-reported </w:t>
      </w:r>
      <w:r w:rsidR="000875AC" w:rsidRPr="00F51FA4">
        <w:rPr>
          <w:rFonts w:cstheme="minorHAnsi"/>
        </w:rPr>
        <w:t>FSDs</w:t>
      </w:r>
      <w:r w:rsidR="000875AC">
        <w:rPr>
          <w:rFonts w:cstheme="minorHAnsi"/>
        </w:rPr>
        <w:t xml:space="preserve">, </w:t>
      </w:r>
      <w:r w:rsidR="00CB000D">
        <w:rPr>
          <w:rFonts w:cstheme="minorHAnsi"/>
        </w:rPr>
        <w:t xml:space="preserve">ranging </w:t>
      </w:r>
      <w:r w:rsidR="000875AC">
        <w:rPr>
          <w:rFonts w:cstheme="minorHAnsi"/>
        </w:rPr>
        <w:t>from</w:t>
      </w:r>
      <w:r w:rsidR="000875AC" w:rsidRPr="00F51FA4">
        <w:rPr>
          <w:rFonts w:cstheme="minorHAnsi"/>
        </w:rPr>
        <w:t xml:space="preserve"> 8-</w:t>
      </w:r>
      <w:r w:rsidR="00F952EF">
        <w:rPr>
          <w:rFonts w:cstheme="minorHAnsi"/>
        </w:rPr>
        <w:t>21+</w:t>
      </w:r>
      <w:r w:rsidR="004030AE">
        <w:rPr>
          <w:rFonts w:cstheme="minorHAnsi"/>
        </w:rPr>
        <w:t xml:space="preserve">, have </w:t>
      </w:r>
      <w:r w:rsidR="0008630A">
        <w:rPr>
          <w:rFonts w:cstheme="minorHAnsi"/>
        </w:rPr>
        <w:t>highe</w:t>
      </w:r>
      <w:r w:rsidR="00ED362C">
        <w:rPr>
          <w:rFonts w:cstheme="minorHAnsi"/>
        </w:rPr>
        <w:t xml:space="preserve">r </w:t>
      </w:r>
      <w:r w:rsidR="001D7B22">
        <w:rPr>
          <w:rFonts w:cstheme="minorHAnsi"/>
        </w:rPr>
        <w:t xml:space="preserve">Observed Standard Deviations, </w:t>
      </w:r>
      <w:r w:rsidR="004030AE">
        <w:rPr>
          <w:rFonts w:cstheme="minorHAnsi"/>
        </w:rPr>
        <w:t xml:space="preserve">and </w:t>
      </w:r>
      <w:r w:rsidR="001D7B22">
        <w:rPr>
          <w:rFonts w:cstheme="minorHAnsi"/>
        </w:rPr>
        <w:t>are</w:t>
      </w:r>
      <w:r>
        <w:rPr>
          <w:rFonts w:cstheme="minorHAnsi"/>
        </w:rPr>
        <w:t xml:space="preserve">, for the most part, </w:t>
      </w:r>
      <w:r w:rsidR="001D7B22">
        <w:rPr>
          <w:rFonts w:cstheme="minorHAnsi"/>
        </w:rPr>
        <w:t xml:space="preserve">statistically significantly </w:t>
      </w:r>
      <w:r w:rsidR="000875AC" w:rsidRPr="00F51FA4">
        <w:rPr>
          <w:rFonts w:cstheme="minorHAnsi"/>
        </w:rPr>
        <w:t>overstated</w:t>
      </w:r>
      <w:r w:rsidR="004030AE">
        <w:rPr>
          <w:rFonts w:cstheme="minorHAnsi"/>
        </w:rPr>
        <w:t xml:space="preserve"> </w:t>
      </w:r>
      <w:r w:rsidR="001D7B22">
        <w:rPr>
          <w:rFonts w:cstheme="minorHAnsi"/>
        </w:rPr>
        <w:t>as reported in Exhibit 11.</w:t>
      </w:r>
      <w:r w:rsidR="000875AC">
        <w:rPr>
          <w:rFonts w:cstheme="minorHAnsi"/>
        </w:rPr>
        <w:t xml:space="preserve"> </w:t>
      </w:r>
      <w:r>
        <w:rPr>
          <w:rFonts w:cstheme="minorHAnsi"/>
        </w:rPr>
        <w:t xml:space="preserve"> </w:t>
      </w:r>
      <w:r w:rsidR="00AE009C">
        <w:rPr>
          <w:rFonts w:cstheme="minorHAnsi"/>
        </w:rPr>
        <w:t xml:space="preserve">Also, the lower </w:t>
      </w:r>
      <w:r w:rsidR="000A2A90">
        <w:rPr>
          <w:rFonts w:cstheme="minorHAnsi"/>
        </w:rPr>
        <w:t xml:space="preserve">vendor-reported </w:t>
      </w:r>
      <w:r w:rsidR="00AE009C">
        <w:rPr>
          <w:rFonts w:cstheme="minorHAnsi"/>
        </w:rPr>
        <w:t xml:space="preserve">FSDs have lower PE10% </w:t>
      </w:r>
      <w:r w:rsidR="00EA2818">
        <w:rPr>
          <w:rFonts w:cstheme="minorHAnsi"/>
        </w:rPr>
        <w:t>percentages</w:t>
      </w:r>
      <w:r w:rsidR="00AE009C">
        <w:rPr>
          <w:rFonts w:cstheme="minorHAnsi"/>
        </w:rPr>
        <w:t xml:space="preserve"> than </w:t>
      </w:r>
      <w:r w:rsidR="000A2A90">
        <w:rPr>
          <w:rFonts w:cstheme="minorHAnsi"/>
        </w:rPr>
        <w:t xml:space="preserve">that for </w:t>
      </w:r>
      <w:r w:rsidR="00AE009C">
        <w:rPr>
          <w:rFonts w:cstheme="minorHAnsi"/>
        </w:rPr>
        <w:t xml:space="preserve">higher </w:t>
      </w:r>
      <w:r w:rsidR="000A2A90">
        <w:rPr>
          <w:rFonts w:cstheme="minorHAnsi"/>
        </w:rPr>
        <w:t>vendor-reported FSDs</w:t>
      </w:r>
      <w:r w:rsidR="000875AC">
        <w:rPr>
          <w:rFonts w:cstheme="minorHAnsi"/>
        </w:rPr>
        <w:t xml:space="preserve">. </w:t>
      </w:r>
      <w:r w:rsidR="001D7B22">
        <w:rPr>
          <w:rFonts w:cstheme="minorHAnsi"/>
        </w:rPr>
        <w:t xml:space="preserve"> </w:t>
      </w:r>
      <w:r w:rsidR="00E00ED3">
        <w:rPr>
          <w:rFonts w:cstheme="minorHAnsi"/>
        </w:rPr>
        <w:t>Lastly</w:t>
      </w:r>
      <w:r w:rsidR="000875AC">
        <w:rPr>
          <w:rFonts w:cstheme="minorHAnsi"/>
        </w:rPr>
        <w:t>,</w:t>
      </w:r>
      <w:r w:rsidR="000875AC" w:rsidRPr="00F51FA4">
        <w:rPr>
          <w:rFonts w:cstheme="minorHAnsi"/>
        </w:rPr>
        <w:t xml:space="preserve"> </w:t>
      </w:r>
      <w:r w:rsidR="000875AC">
        <w:rPr>
          <w:rFonts w:cstheme="minorHAnsi"/>
        </w:rPr>
        <w:t xml:space="preserve">the RT20 metric ranged </w:t>
      </w:r>
      <w:r w:rsidR="00CB000D">
        <w:rPr>
          <w:rFonts w:cstheme="minorHAnsi"/>
        </w:rPr>
        <w:t xml:space="preserve">from </w:t>
      </w:r>
      <w:r w:rsidR="000875AC">
        <w:rPr>
          <w:rFonts w:cstheme="minorHAnsi"/>
        </w:rPr>
        <w:t>0.88 to 3.24 percent</w:t>
      </w:r>
      <w:r w:rsidR="00B57883">
        <w:rPr>
          <w:rFonts w:cstheme="minorHAnsi"/>
        </w:rPr>
        <w:t xml:space="preserve"> </w:t>
      </w:r>
      <w:r w:rsidR="00CB000D">
        <w:rPr>
          <w:rFonts w:cstheme="minorHAnsi"/>
        </w:rPr>
        <w:t xml:space="preserve">for the higher </w:t>
      </w:r>
      <w:r w:rsidR="000A2A90">
        <w:rPr>
          <w:rFonts w:cstheme="minorHAnsi"/>
        </w:rPr>
        <w:t>vendor-reported</w:t>
      </w:r>
      <w:r w:rsidR="00AE009C">
        <w:rPr>
          <w:rFonts w:cstheme="minorHAnsi"/>
        </w:rPr>
        <w:t xml:space="preserve"> </w:t>
      </w:r>
      <w:r w:rsidR="00CB000D">
        <w:rPr>
          <w:rFonts w:cstheme="minorHAnsi"/>
        </w:rPr>
        <w:t>FSDs</w:t>
      </w:r>
      <w:r w:rsidR="00EA2818">
        <w:rPr>
          <w:rFonts w:cstheme="minorHAnsi"/>
        </w:rPr>
        <w:t>, which tend to be higher than that for the lower vendor-reported FSDs</w:t>
      </w:r>
      <w:r w:rsidR="000875AC">
        <w:rPr>
          <w:rFonts w:cstheme="minorHAnsi"/>
        </w:rPr>
        <w:t xml:space="preserve">. </w:t>
      </w:r>
      <w:r w:rsidR="00E00ED3">
        <w:rPr>
          <w:rFonts w:cstheme="minorHAnsi"/>
        </w:rPr>
        <w:t xml:space="preserve"> </w:t>
      </w:r>
    </w:p>
    <w:p w14:paraId="62C29A6A" w14:textId="2B220ABF" w:rsidR="000875AC" w:rsidRDefault="002B7704" w:rsidP="000A2A90">
      <w:pPr>
        <w:tabs>
          <w:tab w:val="num" w:pos="720"/>
        </w:tabs>
        <w:spacing w:before="240" w:line="360" w:lineRule="auto"/>
        <w:ind w:firstLine="0"/>
        <w:jc w:val="both"/>
        <w:rPr>
          <w:rFonts w:cstheme="minorHAnsi"/>
        </w:rPr>
      </w:pPr>
      <w:r>
        <w:rPr>
          <w:rFonts w:cstheme="minorHAnsi"/>
        </w:rPr>
        <w:t xml:space="preserve">Exhibit 11 </w:t>
      </w:r>
      <w:r w:rsidR="000875AC">
        <w:rPr>
          <w:rFonts w:cstheme="minorHAnsi"/>
        </w:rPr>
        <w:t>indicate</w:t>
      </w:r>
      <w:r>
        <w:rPr>
          <w:rFonts w:cstheme="minorHAnsi"/>
        </w:rPr>
        <w:t>s</w:t>
      </w:r>
      <w:r w:rsidR="000875AC">
        <w:rPr>
          <w:rFonts w:cstheme="minorHAnsi"/>
        </w:rPr>
        <w:t xml:space="preserve"> that</w:t>
      </w:r>
      <w:r w:rsidR="00EA2818">
        <w:rPr>
          <w:rFonts w:cstheme="minorHAnsi"/>
        </w:rPr>
        <w:t xml:space="preserve"> </w:t>
      </w:r>
      <w:r w:rsidR="00E95113">
        <w:rPr>
          <w:rFonts w:cstheme="minorHAnsi"/>
        </w:rPr>
        <w:t>a</w:t>
      </w:r>
      <w:r w:rsidR="00EA2818">
        <w:rPr>
          <w:rFonts w:cstheme="minorHAnsi"/>
        </w:rPr>
        <w:t xml:space="preserve"> majority of AVM valuations</w:t>
      </w:r>
      <w:r>
        <w:rPr>
          <w:rFonts w:cstheme="minorHAnsi"/>
        </w:rPr>
        <w:t xml:space="preserve"> (72.1%) </w:t>
      </w:r>
      <w:r w:rsidR="000A2689">
        <w:rPr>
          <w:rFonts w:cstheme="minorHAnsi"/>
        </w:rPr>
        <w:t>for</w:t>
      </w:r>
      <w:r w:rsidR="006D21D3">
        <w:rPr>
          <w:rFonts w:cstheme="minorHAnsi"/>
        </w:rPr>
        <w:t xml:space="preserve"> th</w:t>
      </w:r>
      <w:r>
        <w:rPr>
          <w:rFonts w:cstheme="minorHAnsi"/>
        </w:rPr>
        <w:t>e Clark County</w:t>
      </w:r>
      <w:r w:rsidR="006D21D3">
        <w:rPr>
          <w:rFonts w:cstheme="minorHAnsi"/>
        </w:rPr>
        <w:t xml:space="preserve"> </w:t>
      </w:r>
      <w:r w:rsidR="000A2689">
        <w:rPr>
          <w:rFonts w:cstheme="minorHAnsi"/>
        </w:rPr>
        <w:t>data</w:t>
      </w:r>
      <w:r w:rsidR="006D21D3">
        <w:rPr>
          <w:rFonts w:cstheme="minorHAnsi"/>
        </w:rPr>
        <w:t xml:space="preserve"> </w:t>
      </w:r>
      <w:r w:rsidR="00EA2818">
        <w:rPr>
          <w:rFonts w:cstheme="minorHAnsi"/>
        </w:rPr>
        <w:t xml:space="preserve">have a </w:t>
      </w:r>
      <w:r w:rsidR="00E95113">
        <w:rPr>
          <w:rFonts w:cstheme="minorHAnsi"/>
        </w:rPr>
        <w:t xml:space="preserve">corresponding </w:t>
      </w:r>
      <w:r w:rsidR="00EA2818">
        <w:rPr>
          <w:rFonts w:cstheme="minorHAnsi"/>
        </w:rPr>
        <w:t>vendor reported FSD</w:t>
      </w:r>
      <w:r w:rsidR="00EB39DC">
        <w:rPr>
          <w:rFonts w:cstheme="minorHAnsi"/>
        </w:rPr>
        <w:t xml:space="preserve"> (</w:t>
      </w:r>
      <w:r w:rsidR="00EA2818">
        <w:rPr>
          <w:rFonts w:cstheme="minorHAnsi"/>
        </w:rPr>
        <w:t>rang</w:t>
      </w:r>
      <w:r w:rsidR="006D21D3">
        <w:rPr>
          <w:rFonts w:cstheme="minorHAnsi"/>
        </w:rPr>
        <w:t>ing</w:t>
      </w:r>
      <w:r w:rsidR="00EA2818">
        <w:rPr>
          <w:rFonts w:cstheme="minorHAnsi"/>
        </w:rPr>
        <w:t xml:space="preserve"> from 1 to 7</w:t>
      </w:r>
      <w:r w:rsidR="00EB39DC">
        <w:rPr>
          <w:rFonts w:cstheme="minorHAnsi"/>
        </w:rPr>
        <w:t>)</w:t>
      </w:r>
      <w:r w:rsidR="006D21D3">
        <w:rPr>
          <w:rFonts w:cstheme="minorHAnsi"/>
        </w:rPr>
        <w:t xml:space="preserve"> that</w:t>
      </w:r>
      <w:r w:rsidR="00E95113">
        <w:rPr>
          <w:rFonts w:cstheme="minorHAnsi"/>
        </w:rPr>
        <w:t xml:space="preserve"> is</w:t>
      </w:r>
      <w:r w:rsidR="006D21D3">
        <w:rPr>
          <w:rFonts w:cstheme="minorHAnsi"/>
        </w:rPr>
        <w:t xml:space="preserve"> </w:t>
      </w:r>
      <w:r w:rsidR="001D7B22">
        <w:rPr>
          <w:rFonts w:cstheme="minorHAnsi"/>
        </w:rPr>
        <w:t xml:space="preserve">statistically significantly </w:t>
      </w:r>
      <w:r w:rsidR="00E064F5">
        <w:rPr>
          <w:rFonts w:cstheme="minorHAnsi"/>
        </w:rPr>
        <w:t>under</w:t>
      </w:r>
      <w:r w:rsidR="000875AC">
        <w:rPr>
          <w:rFonts w:cstheme="minorHAnsi"/>
        </w:rPr>
        <w:t>stat</w:t>
      </w:r>
      <w:r w:rsidR="0036039F">
        <w:rPr>
          <w:rFonts w:cstheme="minorHAnsi"/>
        </w:rPr>
        <w:t>e</w:t>
      </w:r>
      <w:r w:rsidR="00E95113">
        <w:rPr>
          <w:rFonts w:cstheme="minorHAnsi"/>
        </w:rPr>
        <w:t>d</w:t>
      </w:r>
      <w:r w:rsidR="006D21D3">
        <w:rPr>
          <w:rFonts w:cstheme="minorHAnsi"/>
        </w:rPr>
        <w:t>.  T</w:t>
      </w:r>
      <w:r w:rsidR="00637701">
        <w:rPr>
          <w:rFonts w:cstheme="minorHAnsi"/>
        </w:rPr>
        <w:t>he</w:t>
      </w:r>
      <w:r w:rsidR="006D21D3">
        <w:rPr>
          <w:rFonts w:cstheme="minorHAnsi"/>
        </w:rPr>
        <w:t xml:space="preserve"> lower vendor-reported FSDs</w:t>
      </w:r>
      <w:r w:rsidR="001D7B22">
        <w:rPr>
          <w:rFonts w:cstheme="minorHAnsi"/>
        </w:rPr>
        <w:t>, nevertheless, out</w:t>
      </w:r>
      <w:r w:rsidR="000875AC">
        <w:rPr>
          <w:rFonts w:cstheme="minorHAnsi"/>
        </w:rPr>
        <w:t xml:space="preserve">perform </w:t>
      </w:r>
      <w:r w:rsidR="00E00ED3">
        <w:rPr>
          <w:rFonts w:cstheme="minorHAnsi"/>
        </w:rPr>
        <w:t xml:space="preserve">the </w:t>
      </w:r>
      <w:r w:rsidR="0023732B">
        <w:rPr>
          <w:rFonts w:cstheme="minorHAnsi"/>
        </w:rPr>
        <w:t xml:space="preserve">vendor-reported </w:t>
      </w:r>
      <w:r w:rsidR="001D7B22">
        <w:rPr>
          <w:rFonts w:cstheme="minorHAnsi"/>
        </w:rPr>
        <w:t>FSDs</w:t>
      </w:r>
      <w:r w:rsidR="000875AC">
        <w:rPr>
          <w:rFonts w:cstheme="minorHAnsi"/>
        </w:rPr>
        <w:t xml:space="preserve"> </w:t>
      </w:r>
      <w:r w:rsidR="0023732B">
        <w:rPr>
          <w:rFonts w:cstheme="minorHAnsi"/>
        </w:rPr>
        <w:t>that</w:t>
      </w:r>
      <w:r w:rsidR="000875AC">
        <w:rPr>
          <w:rFonts w:cstheme="minorHAnsi"/>
        </w:rPr>
        <w:t xml:space="preserve"> </w:t>
      </w:r>
      <w:r w:rsidR="0023732B">
        <w:rPr>
          <w:rFonts w:cstheme="minorHAnsi"/>
        </w:rPr>
        <w:t>a</w:t>
      </w:r>
      <w:r w:rsidR="001D7B22">
        <w:rPr>
          <w:rFonts w:cstheme="minorHAnsi"/>
        </w:rPr>
        <w:t>re</w:t>
      </w:r>
      <w:r w:rsidR="000875AC">
        <w:rPr>
          <w:rFonts w:cstheme="minorHAnsi"/>
        </w:rPr>
        <w:t xml:space="preserve"> </w:t>
      </w:r>
      <w:r w:rsidR="001D7B22">
        <w:rPr>
          <w:rFonts w:cstheme="minorHAnsi"/>
        </w:rPr>
        <w:t>higher than 7</w:t>
      </w:r>
      <w:r w:rsidR="005B4B97">
        <w:rPr>
          <w:rFonts w:cstheme="minorHAnsi"/>
        </w:rPr>
        <w:t xml:space="preserve">. </w:t>
      </w:r>
      <w:r w:rsidR="006D21D3">
        <w:rPr>
          <w:rFonts w:cstheme="minorHAnsi"/>
        </w:rPr>
        <w:t xml:space="preserve"> </w:t>
      </w:r>
      <w:r w:rsidR="005B4B97">
        <w:rPr>
          <w:rFonts w:cstheme="minorHAnsi"/>
        </w:rPr>
        <w:t>T</w:t>
      </w:r>
      <w:r w:rsidR="001D7B22">
        <w:rPr>
          <w:rFonts w:cstheme="minorHAnsi"/>
        </w:rPr>
        <w:t>he</w:t>
      </w:r>
      <w:r w:rsidR="005B4B97">
        <w:rPr>
          <w:rFonts w:cstheme="minorHAnsi"/>
        </w:rPr>
        <w:t xml:space="preserve"> </w:t>
      </w:r>
      <w:r w:rsidR="00AE009C">
        <w:rPr>
          <w:rFonts w:cstheme="minorHAnsi"/>
        </w:rPr>
        <w:t xml:space="preserve">valuations </w:t>
      </w:r>
      <w:r w:rsidR="005B4B97">
        <w:rPr>
          <w:rFonts w:cstheme="minorHAnsi"/>
        </w:rPr>
        <w:t>having vendor-reported FSDs ranging from 1 to 7</w:t>
      </w:r>
      <w:r w:rsidR="001D7B22">
        <w:rPr>
          <w:rFonts w:cstheme="minorHAnsi"/>
        </w:rPr>
        <w:t xml:space="preserve"> </w:t>
      </w:r>
      <w:r w:rsidR="0023732B">
        <w:rPr>
          <w:rFonts w:cstheme="minorHAnsi"/>
        </w:rPr>
        <w:t>a</w:t>
      </w:r>
      <w:r w:rsidR="001D7B22">
        <w:rPr>
          <w:rFonts w:cstheme="minorHAnsi"/>
        </w:rPr>
        <w:t xml:space="preserve">re just not as </w:t>
      </w:r>
      <w:r w:rsidR="004030AE">
        <w:rPr>
          <w:rFonts w:cstheme="minorHAnsi"/>
        </w:rPr>
        <w:t>accurate</w:t>
      </w:r>
      <w:r w:rsidR="001D7B22">
        <w:rPr>
          <w:rFonts w:cstheme="minorHAnsi"/>
        </w:rPr>
        <w:t xml:space="preserve"> as </w:t>
      </w:r>
      <w:r w:rsidR="00E00ED3">
        <w:rPr>
          <w:rFonts w:cstheme="minorHAnsi"/>
        </w:rPr>
        <w:t xml:space="preserve">the </w:t>
      </w:r>
      <w:r w:rsidR="005B4B97">
        <w:rPr>
          <w:rFonts w:cstheme="minorHAnsi"/>
        </w:rPr>
        <w:t>AVM vendor</w:t>
      </w:r>
      <w:r w:rsidR="00E00ED3">
        <w:rPr>
          <w:rFonts w:cstheme="minorHAnsi"/>
        </w:rPr>
        <w:t xml:space="preserve"> had </w:t>
      </w:r>
      <w:r w:rsidR="007F781F">
        <w:rPr>
          <w:rFonts w:cstheme="minorHAnsi"/>
        </w:rPr>
        <w:t xml:space="preserve">originally </w:t>
      </w:r>
      <w:r w:rsidR="001D7B22">
        <w:rPr>
          <w:rFonts w:cstheme="minorHAnsi"/>
        </w:rPr>
        <w:t>advertised</w:t>
      </w:r>
      <w:r w:rsidR="00CB000D">
        <w:rPr>
          <w:rFonts w:cstheme="minorHAnsi"/>
        </w:rPr>
        <w:t>.</w:t>
      </w:r>
    </w:p>
    <w:bookmarkEnd w:id="10"/>
    <w:p w14:paraId="00E7B281" w14:textId="509A9D1A" w:rsidR="000E2F23" w:rsidRPr="006B1DC9" w:rsidRDefault="000E2F23" w:rsidP="005A4141">
      <w:pPr>
        <w:tabs>
          <w:tab w:val="num" w:pos="720"/>
        </w:tabs>
        <w:spacing w:before="240" w:line="360" w:lineRule="auto"/>
        <w:ind w:firstLine="0"/>
        <w:jc w:val="both"/>
        <w:rPr>
          <w:rFonts w:asciiTheme="majorHAnsi" w:hAnsiTheme="majorHAnsi" w:cstheme="majorHAnsi"/>
          <w:lang w:val="en"/>
        </w:rPr>
      </w:pPr>
      <w:r>
        <w:rPr>
          <w:rFonts w:cstheme="majorHAnsi"/>
          <w:b/>
          <w:bCs/>
          <w:sz w:val="28"/>
          <w:szCs w:val="28"/>
        </w:rPr>
        <w:tab/>
      </w:r>
      <w:r w:rsidR="0072443C" w:rsidRPr="006B1DC9">
        <w:rPr>
          <w:rFonts w:cstheme="majorHAnsi"/>
          <w:b/>
          <w:bCs/>
          <w:sz w:val="28"/>
          <w:szCs w:val="28"/>
        </w:rPr>
        <w:t>5</w:t>
      </w:r>
      <w:r w:rsidR="009F1771" w:rsidRPr="006B1DC9">
        <w:rPr>
          <w:rFonts w:cstheme="majorHAnsi"/>
          <w:b/>
          <w:bCs/>
          <w:sz w:val="28"/>
          <w:szCs w:val="28"/>
        </w:rPr>
        <w:t>b</w:t>
      </w:r>
      <w:r w:rsidRPr="006B1DC9">
        <w:rPr>
          <w:rFonts w:cstheme="majorHAnsi"/>
          <w:b/>
          <w:bCs/>
          <w:sz w:val="28"/>
          <w:szCs w:val="28"/>
        </w:rPr>
        <w:t>. AVM Grading</w:t>
      </w:r>
      <w:r w:rsidRPr="006B1DC9">
        <w:rPr>
          <w:rFonts w:asciiTheme="majorHAnsi" w:hAnsiTheme="majorHAnsi" w:cstheme="majorHAnsi"/>
          <w:lang w:val="en"/>
        </w:rPr>
        <w:t xml:space="preserve"> </w:t>
      </w:r>
    </w:p>
    <w:p w14:paraId="6BFD6F88" w14:textId="52842B20" w:rsidR="006B1DC9" w:rsidRDefault="006B1DC9" w:rsidP="006B1DC9">
      <w:pPr>
        <w:tabs>
          <w:tab w:val="num" w:pos="720"/>
        </w:tabs>
        <w:spacing w:after="240" w:line="360" w:lineRule="auto"/>
        <w:ind w:firstLine="0"/>
        <w:jc w:val="both"/>
        <w:rPr>
          <w:rFonts w:asciiTheme="majorHAnsi" w:hAnsiTheme="majorHAnsi" w:cstheme="majorHAnsi"/>
        </w:rPr>
      </w:pPr>
      <w:r>
        <w:rPr>
          <w:rFonts w:asciiTheme="majorHAnsi" w:hAnsiTheme="majorHAnsi" w:cstheme="majorHAnsi"/>
        </w:rPr>
        <w:t>The</w:t>
      </w:r>
      <w:r w:rsidRPr="003F6E5E">
        <w:rPr>
          <w:rFonts w:asciiTheme="majorHAnsi" w:hAnsiTheme="majorHAnsi" w:cstheme="majorHAnsi"/>
        </w:rPr>
        <w:t xml:space="preserve"> </w:t>
      </w:r>
      <w:bookmarkStart w:id="11" w:name="_Hlk47596675"/>
      <w:r w:rsidRPr="003F6E5E">
        <w:rPr>
          <w:rFonts w:ascii="Times New Roman" w:hAnsi="Times New Roman" w:cs="Times New Roman"/>
        </w:rPr>
        <w:t xml:space="preserve">Interagency Appraisal and Evaluation Guidelines (2010, Appendix B) </w:t>
      </w:r>
      <w:bookmarkEnd w:id="11"/>
      <w:r w:rsidRPr="003F6E5E">
        <w:t xml:space="preserve">require selection of “acceptable minimum AVM performance criteria prior to and independent of the validation process” as one of its six tenets for model selection. Moreover, </w:t>
      </w:r>
      <w:r w:rsidRPr="003F6E5E">
        <w:rPr>
          <w:sz w:val="23"/>
          <w:szCs w:val="23"/>
        </w:rPr>
        <w:t xml:space="preserve">CoreLogic “recommends that </w:t>
      </w:r>
      <w:r>
        <w:rPr>
          <w:sz w:val="23"/>
          <w:szCs w:val="23"/>
        </w:rPr>
        <w:t xml:space="preserve">[AVM] </w:t>
      </w:r>
      <w:r w:rsidRPr="003F6E5E">
        <w:rPr>
          <w:sz w:val="23"/>
          <w:szCs w:val="23"/>
        </w:rPr>
        <w:t>accuracy thresholds be set prior to testing”</w:t>
      </w:r>
      <w:r w:rsidRPr="008436B6">
        <w:rPr>
          <w:sz w:val="23"/>
          <w:szCs w:val="23"/>
        </w:rPr>
        <w:t>.</w:t>
      </w:r>
      <w:r w:rsidR="00C53B54">
        <w:rPr>
          <w:rStyle w:val="FootnoteReference"/>
          <w:sz w:val="23"/>
          <w:szCs w:val="23"/>
        </w:rPr>
        <w:footnoteReference w:id="34"/>
      </w:r>
      <w:r>
        <w:rPr>
          <w:sz w:val="23"/>
          <w:szCs w:val="23"/>
        </w:rPr>
        <w:t xml:space="preserve"> </w:t>
      </w:r>
      <w:r w:rsidR="00C53B54">
        <w:rPr>
          <w:sz w:val="23"/>
          <w:szCs w:val="23"/>
        </w:rPr>
        <w:t xml:space="preserve"> </w:t>
      </w:r>
      <w:r w:rsidRPr="003F6E5E">
        <w:rPr>
          <w:rFonts w:asciiTheme="majorHAnsi" w:hAnsiTheme="majorHAnsi" w:cstheme="majorHAnsi"/>
        </w:rPr>
        <w:t xml:space="preserve">As discussed in </w:t>
      </w:r>
      <w:r w:rsidRPr="003F6E5E">
        <w:t>Ecker, Isakson</w:t>
      </w:r>
      <w:r w:rsidR="007F4A04">
        <w:t>,</w:t>
      </w:r>
      <w:r w:rsidRPr="003F6E5E">
        <w:t xml:space="preserve"> and Kennedy (202</w:t>
      </w:r>
      <w:r w:rsidR="00B664FF">
        <w:t>1</w:t>
      </w:r>
      <w:r w:rsidRPr="003F6E5E">
        <w:t xml:space="preserve">), </w:t>
      </w:r>
      <w:r w:rsidRPr="003F6E5E">
        <w:rPr>
          <w:rFonts w:asciiTheme="majorHAnsi" w:hAnsiTheme="majorHAnsi" w:cstheme="majorHAnsi"/>
        </w:rPr>
        <w:t>AVM performance criteria</w:t>
      </w:r>
      <w:r w:rsidR="00087790">
        <w:rPr>
          <w:rFonts w:asciiTheme="majorHAnsi" w:hAnsiTheme="majorHAnsi" w:cstheme="majorHAnsi"/>
        </w:rPr>
        <w:t xml:space="preserve"> or accuracy </w:t>
      </w:r>
      <w:r w:rsidRPr="003F6E5E">
        <w:rPr>
          <w:rFonts w:asciiTheme="majorHAnsi" w:hAnsiTheme="majorHAnsi" w:cstheme="majorHAnsi"/>
        </w:rPr>
        <w:t xml:space="preserve">thresholds </w:t>
      </w:r>
      <w:r w:rsidRPr="003F6E5E">
        <w:t xml:space="preserve">suggested in the literature </w:t>
      </w:r>
      <w:r w:rsidRPr="003F6E5E">
        <w:rPr>
          <w:rFonts w:asciiTheme="majorHAnsi" w:hAnsiTheme="majorHAnsi" w:cstheme="majorHAnsi"/>
        </w:rPr>
        <w:t xml:space="preserve">are mostly </w:t>
      </w:r>
      <w:r>
        <w:rPr>
          <w:rFonts w:asciiTheme="majorHAnsi" w:hAnsiTheme="majorHAnsi" w:cstheme="majorHAnsi"/>
        </w:rPr>
        <w:t>found in</w:t>
      </w:r>
      <w:r w:rsidRPr="003F6E5E">
        <w:rPr>
          <w:rFonts w:asciiTheme="majorHAnsi" w:hAnsiTheme="majorHAnsi" w:cstheme="majorHAnsi"/>
        </w:rPr>
        <w:t xml:space="preserve"> self-published books,</w:t>
      </w:r>
      <w:r>
        <w:rPr>
          <w:rFonts w:asciiTheme="majorHAnsi" w:hAnsiTheme="majorHAnsi" w:cstheme="majorHAnsi"/>
        </w:rPr>
        <w:t xml:space="preserve"> </w:t>
      </w:r>
      <w:r w:rsidRPr="003F6E5E">
        <w:rPr>
          <w:rFonts w:asciiTheme="majorHAnsi" w:hAnsiTheme="majorHAnsi" w:cstheme="majorHAnsi"/>
        </w:rPr>
        <w:t xml:space="preserve">industry websites, unpublished </w:t>
      </w:r>
      <w:r w:rsidRPr="00CC312F">
        <w:rPr>
          <w:rFonts w:asciiTheme="majorHAnsi" w:hAnsiTheme="majorHAnsi" w:cstheme="majorHAnsi"/>
        </w:rPr>
        <w:t>manuscripts</w:t>
      </w:r>
      <w:r w:rsidR="00C53B54">
        <w:rPr>
          <w:rFonts w:asciiTheme="majorHAnsi" w:hAnsiTheme="majorHAnsi" w:cstheme="majorHAnsi"/>
        </w:rPr>
        <w:t>,</w:t>
      </w:r>
      <w:r>
        <w:rPr>
          <w:rFonts w:asciiTheme="majorHAnsi" w:hAnsiTheme="majorHAnsi" w:cstheme="majorHAnsi"/>
        </w:rPr>
        <w:t xml:space="preserve"> or </w:t>
      </w:r>
      <w:r w:rsidRPr="003F6E5E">
        <w:t xml:space="preserve">recent trade </w:t>
      </w:r>
      <w:r w:rsidRPr="00CC312F">
        <w:t>publications</w:t>
      </w:r>
      <w:r w:rsidRPr="00CC312F">
        <w:rPr>
          <w:rFonts w:asciiTheme="majorHAnsi" w:hAnsiTheme="majorHAnsi" w:cstheme="majorHAnsi"/>
        </w:rPr>
        <w:t>.</w:t>
      </w:r>
      <w:r>
        <w:rPr>
          <w:rFonts w:asciiTheme="majorHAnsi" w:hAnsiTheme="majorHAnsi" w:cstheme="majorHAnsi"/>
        </w:rPr>
        <w:t xml:space="preserve"> </w:t>
      </w:r>
      <w:r w:rsidR="00B50438">
        <w:rPr>
          <w:rFonts w:asciiTheme="majorHAnsi" w:hAnsiTheme="majorHAnsi" w:cstheme="majorHAnsi"/>
        </w:rPr>
        <w:t xml:space="preserve">  </w:t>
      </w:r>
    </w:p>
    <w:p w14:paraId="74AC9EE0" w14:textId="275D5884" w:rsidR="006B1DC9" w:rsidRDefault="006B1DC9" w:rsidP="006B1DC9">
      <w:pPr>
        <w:tabs>
          <w:tab w:val="num" w:pos="720"/>
        </w:tabs>
        <w:spacing w:after="240" w:line="360" w:lineRule="auto"/>
        <w:ind w:firstLine="0"/>
        <w:jc w:val="both"/>
        <w:rPr>
          <w:rFonts w:asciiTheme="majorHAnsi" w:hAnsiTheme="majorHAnsi" w:cstheme="majorHAnsi"/>
        </w:rPr>
      </w:pPr>
      <w:r w:rsidRPr="008436B6">
        <w:rPr>
          <w:rFonts w:asciiTheme="majorHAnsi" w:hAnsiTheme="majorHAnsi" w:cstheme="majorHAnsi"/>
        </w:rPr>
        <w:t xml:space="preserve">Exhibit </w:t>
      </w:r>
      <w:r>
        <w:rPr>
          <w:rFonts w:asciiTheme="majorHAnsi" w:hAnsiTheme="majorHAnsi" w:cstheme="majorHAnsi"/>
        </w:rPr>
        <w:t>1</w:t>
      </w:r>
      <w:r w:rsidR="0039664E">
        <w:rPr>
          <w:rFonts w:asciiTheme="majorHAnsi" w:hAnsiTheme="majorHAnsi" w:cstheme="majorHAnsi"/>
        </w:rPr>
        <w:t>2</w:t>
      </w:r>
      <w:r w:rsidRPr="008436B6">
        <w:rPr>
          <w:rFonts w:asciiTheme="majorHAnsi" w:hAnsiTheme="majorHAnsi" w:cstheme="majorHAnsi"/>
        </w:rPr>
        <w:t xml:space="preserve"> proffers</w:t>
      </w:r>
      <w:r w:rsidRPr="003F6E5E">
        <w:rPr>
          <w:rFonts w:asciiTheme="majorHAnsi" w:hAnsiTheme="majorHAnsi" w:cstheme="majorHAnsi"/>
        </w:rPr>
        <w:t xml:space="preserve"> </w:t>
      </w:r>
      <w:r w:rsidR="00087790">
        <w:rPr>
          <w:rFonts w:asciiTheme="majorHAnsi" w:hAnsiTheme="majorHAnsi" w:cstheme="majorHAnsi"/>
        </w:rPr>
        <w:t xml:space="preserve">AVM performance </w:t>
      </w:r>
      <w:r w:rsidRPr="003F6E5E">
        <w:rPr>
          <w:rFonts w:asciiTheme="majorHAnsi" w:hAnsiTheme="majorHAnsi" w:cstheme="majorHAnsi"/>
        </w:rPr>
        <w:t xml:space="preserve">criteria or </w:t>
      </w:r>
      <w:r w:rsidR="00087790">
        <w:rPr>
          <w:rFonts w:asciiTheme="majorHAnsi" w:hAnsiTheme="majorHAnsi" w:cstheme="majorHAnsi"/>
        </w:rPr>
        <w:t xml:space="preserve">accuracy </w:t>
      </w:r>
      <w:r w:rsidRPr="003F6E5E">
        <w:rPr>
          <w:rFonts w:asciiTheme="majorHAnsi" w:hAnsiTheme="majorHAnsi" w:cstheme="majorHAnsi"/>
        </w:rPr>
        <w:t>thresholds for AVM Performance Metrics</w:t>
      </w:r>
      <w:r w:rsidR="001D6783">
        <w:rPr>
          <w:rFonts w:asciiTheme="majorHAnsi" w:hAnsiTheme="majorHAnsi" w:cstheme="majorHAnsi"/>
        </w:rPr>
        <w:t>, where m</w:t>
      </w:r>
      <w:r w:rsidRPr="00CC312F">
        <w:t>any</w:t>
      </w:r>
      <w:r w:rsidRPr="003F6E5E">
        <w:t xml:space="preserve"> </w:t>
      </w:r>
      <w:r w:rsidR="00F45E71">
        <w:t>of which</w:t>
      </w:r>
      <w:r w:rsidRPr="008436B6">
        <w:t xml:space="preserve"> were </w:t>
      </w:r>
      <w:r w:rsidR="00E66CE5">
        <w:t>taken</w:t>
      </w:r>
      <w:r w:rsidRPr="008436B6">
        <w:t xml:space="preserve"> from the</w:t>
      </w:r>
      <w:r>
        <w:t xml:space="preserve"> above</w:t>
      </w:r>
      <w:r w:rsidRPr="008436B6">
        <w:t xml:space="preserve"> sources.</w:t>
      </w:r>
      <w:r w:rsidR="00406F7E">
        <w:rPr>
          <w:rStyle w:val="FootnoteReference"/>
          <w:rFonts w:asciiTheme="majorHAnsi" w:hAnsiTheme="majorHAnsi" w:cstheme="majorHAnsi"/>
        </w:rPr>
        <w:footnoteReference w:id="35"/>
      </w:r>
      <w:r w:rsidR="001D6783">
        <w:t xml:space="preserve"> </w:t>
      </w:r>
      <w:r>
        <w:t>However, t</w:t>
      </w:r>
      <w:r w:rsidRPr="008436B6">
        <w:rPr>
          <w:rFonts w:asciiTheme="majorHAnsi" w:hAnsiTheme="majorHAnsi" w:cstheme="majorHAnsi"/>
        </w:rPr>
        <w:t xml:space="preserve">he end user should adopt a set of AVM performance thresholds, such as those seen in Exhibit </w:t>
      </w:r>
      <w:r w:rsidR="000315C2">
        <w:rPr>
          <w:rFonts w:asciiTheme="majorHAnsi" w:hAnsiTheme="majorHAnsi" w:cstheme="majorHAnsi"/>
        </w:rPr>
        <w:t>1</w:t>
      </w:r>
      <w:r w:rsidR="0039664E">
        <w:rPr>
          <w:rFonts w:asciiTheme="majorHAnsi" w:hAnsiTheme="majorHAnsi" w:cstheme="majorHAnsi"/>
        </w:rPr>
        <w:t>2</w:t>
      </w:r>
      <w:r w:rsidRPr="008436B6">
        <w:rPr>
          <w:rFonts w:asciiTheme="majorHAnsi" w:hAnsiTheme="majorHAnsi" w:cstheme="majorHAnsi"/>
        </w:rPr>
        <w:t xml:space="preserve">, that best reflect their intended use of the valuations from AVMs, as suggested by the </w:t>
      </w:r>
      <w:r w:rsidRPr="008436B6">
        <w:rPr>
          <w:rFonts w:ascii="Times New Roman" w:hAnsi="Times New Roman" w:cs="Times New Roman"/>
        </w:rPr>
        <w:t>Interagency Appraisal and Evaluation Guidelines (2010, Appendix B)</w:t>
      </w:r>
      <w:r w:rsidRPr="008436B6">
        <w:rPr>
          <w:rFonts w:asciiTheme="majorHAnsi" w:hAnsiTheme="majorHAnsi" w:cstheme="majorHAnsi"/>
        </w:rPr>
        <w:t xml:space="preserve">. </w:t>
      </w:r>
    </w:p>
    <w:p w14:paraId="431979F3" w14:textId="1C974743" w:rsidR="0039664E" w:rsidRPr="0058677F" w:rsidRDefault="0039664E" w:rsidP="0039664E">
      <w:pPr>
        <w:tabs>
          <w:tab w:val="num" w:pos="720"/>
        </w:tabs>
        <w:spacing w:after="240" w:line="360" w:lineRule="auto"/>
        <w:ind w:firstLine="0"/>
        <w:jc w:val="center"/>
        <w:rPr>
          <w:sz w:val="23"/>
          <w:szCs w:val="23"/>
        </w:rPr>
      </w:pPr>
      <w:r>
        <w:rPr>
          <w:rFonts w:asciiTheme="majorHAnsi" w:hAnsiTheme="majorHAnsi" w:cstheme="majorHAnsi"/>
        </w:rPr>
        <w:t>Exhibit 12 About Here</w:t>
      </w:r>
    </w:p>
    <w:p w14:paraId="668AE142" w14:textId="2DE65194" w:rsidR="0059696B" w:rsidRPr="0059696B" w:rsidRDefault="000315C2" w:rsidP="009E7AB4">
      <w:pPr>
        <w:tabs>
          <w:tab w:val="num" w:pos="720"/>
        </w:tabs>
        <w:spacing w:after="240" w:line="360" w:lineRule="auto"/>
        <w:ind w:firstLine="0"/>
        <w:jc w:val="both"/>
        <w:rPr>
          <w:rFonts w:asciiTheme="majorHAnsi" w:hAnsiTheme="majorHAnsi" w:cstheme="majorHAnsi"/>
        </w:rPr>
      </w:pPr>
      <w:r w:rsidRPr="000315C2">
        <w:rPr>
          <w:rFonts w:asciiTheme="majorHAnsi" w:hAnsiTheme="majorHAnsi" w:cstheme="majorHAnsi"/>
          <w:lang w:val="en"/>
        </w:rPr>
        <w:lastRenderedPageBreak/>
        <w:t xml:space="preserve">The </w:t>
      </w:r>
      <w:r w:rsidR="00A0724C">
        <w:rPr>
          <w:rFonts w:asciiTheme="majorHAnsi" w:hAnsiTheme="majorHAnsi" w:cstheme="majorHAnsi"/>
          <w:lang w:val="en"/>
        </w:rPr>
        <w:t>E</w:t>
      </w:r>
      <w:r>
        <w:rPr>
          <w:rFonts w:asciiTheme="majorHAnsi" w:hAnsiTheme="majorHAnsi" w:cstheme="majorHAnsi"/>
          <w:lang w:val="en"/>
        </w:rPr>
        <w:t>xpanded AVM-by-FSD analysis in Section 5</w:t>
      </w:r>
      <w:r w:rsidR="00883942">
        <w:rPr>
          <w:rFonts w:asciiTheme="majorHAnsi" w:hAnsiTheme="majorHAnsi" w:cstheme="majorHAnsi"/>
          <w:lang w:val="en"/>
        </w:rPr>
        <w:t>a</w:t>
      </w:r>
      <w:r>
        <w:rPr>
          <w:rFonts w:asciiTheme="majorHAnsi" w:hAnsiTheme="majorHAnsi" w:cstheme="majorHAnsi"/>
          <w:lang w:val="en"/>
        </w:rPr>
        <w:t xml:space="preserve"> ranks the 367 AVM/FSD combinations from top performing to worst</w:t>
      </w:r>
      <w:r w:rsidR="003F0C7C">
        <w:rPr>
          <w:rFonts w:asciiTheme="majorHAnsi" w:hAnsiTheme="majorHAnsi" w:cstheme="majorHAnsi"/>
          <w:lang w:val="en"/>
        </w:rPr>
        <w:t xml:space="preserve"> using multiple AVM Performance Metrics</w:t>
      </w:r>
      <w:r>
        <w:rPr>
          <w:rFonts w:asciiTheme="majorHAnsi" w:hAnsiTheme="majorHAnsi" w:cstheme="majorHAnsi"/>
          <w:lang w:val="en"/>
        </w:rPr>
        <w:t xml:space="preserve">.  In </w:t>
      </w:r>
      <w:r w:rsidR="003F0C7C">
        <w:rPr>
          <w:rFonts w:asciiTheme="majorHAnsi" w:hAnsiTheme="majorHAnsi" w:cstheme="majorHAnsi"/>
          <w:lang w:val="en"/>
        </w:rPr>
        <w:t>contrast</w:t>
      </w:r>
      <w:r>
        <w:rPr>
          <w:rFonts w:asciiTheme="majorHAnsi" w:hAnsiTheme="majorHAnsi" w:cstheme="majorHAnsi"/>
          <w:lang w:val="en"/>
        </w:rPr>
        <w:t xml:space="preserve">, </w:t>
      </w:r>
      <w:r w:rsidR="005A4141" w:rsidRPr="000315C2">
        <w:rPr>
          <w:rFonts w:asciiTheme="majorHAnsi" w:hAnsiTheme="majorHAnsi" w:cstheme="majorHAnsi"/>
          <w:lang w:val="en"/>
        </w:rPr>
        <w:t xml:space="preserve">one can </w:t>
      </w:r>
      <w:r w:rsidR="000904E4" w:rsidRPr="000315C2">
        <w:rPr>
          <w:rFonts w:asciiTheme="majorHAnsi" w:hAnsiTheme="majorHAnsi" w:cstheme="majorHAnsi"/>
          <w:lang w:val="en"/>
        </w:rPr>
        <w:t xml:space="preserve">collectively </w:t>
      </w:r>
      <w:r w:rsidR="00F02CDC" w:rsidRPr="000315C2">
        <w:rPr>
          <w:rFonts w:asciiTheme="majorHAnsi" w:hAnsiTheme="majorHAnsi" w:cstheme="majorHAnsi"/>
          <w:lang w:val="en"/>
        </w:rPr>
        <w:t>grade</w:t>
      </w:r>
      <w:r w:rsidR="005A4141" w:rsidRPr="000315C2">
        <w:rPr>
          <w:rFonts w:asciiTheme="majorHAnsi" w:hAnsiTheme="majorHAnsi" w:cstheme="majorHAnsi"/>
          <w:lang w:val="en"/>
        </w:rPr>
        <w:t xml:space="preserve"> how well any AVM (at a given </w:t>
      </w:r>
      <w:r w:rsidR="004458D6" w:rsidRPr="000315C2">
        <w:rPr>
          <w:rFonts w:asciiTheme="majorHAnsi" w:hAnsiTheme="majorHAnsi" w:cstheme="majorHAnsi"/>
          <w:lang w:val="en"/>
        </w:rPr>
        <w:t xml:space="preserve">vendor-reported </w:t>
      </w:r>
      <w:r w:rsidR="005A4141" w:rsidRPr="000315C2">
        <w:rPr>
          <w:rFonts w:asciiTheme="majorHAnsi" w:hAnsiTheme="majorHAnsi" w:cstheme="majorHAnsi"/>
          <w:lang w:val="en"/>
        </w:rPr>
        <w:t>FSD, for this example) is</w:t>
      </w:r>
      <w:r w:rsidR="004D31BC" w:rsidRPr="000315C2">
        <w:rPr>
          <w:rFonts w:asciiTheme="majorHAnsi" w:hAnsiTheme="majorHAnsi" w:cstheme="majorHAnsi"/>
          <w:lang w:val="en"/>
        </w:rPr>
        <w:t xml:space="preserve"> </w:t>
      </w:r>
      <w:r w:rsidR="005A4141" w:rsidRPr="000315C2">
        <w:rPr>
          <w:rFonts w:asciiTheme="majorHAnsi" w:hAnsiTheme="majorHAnsi" w:cstheme="majorHAnsi"/>
          <w:lang w:val="en"/>
        </w:rPr>
        <w:t xml:space="preserve">meeting a set of </w:t>
      </w:r>
      <w:r w:rsidR="000904E4" w:rsidRPr="000315C2">
        <w:rPr>
          <w:rFonts w:asciiTheme="majorHAnsi" w:hAnsiTheme="majorHAnsi" w:cstheme="majorHAnsi"/>
          <w:lang w:val="en"/>
        </w:rPr>
        <w:t>individual</w:t>
      </w:r>
      <w:r w:rsidR="00087790">
        <w:rPr>
          <w:rFonts w:asciiTheme="majorHAnsi" w:hAnsiTheme="majorHAnsi" w:cstheme="majorHAnsi"/>
          <w:lang w:val="en"/>
        </w:rPr>
        <w:t xml:space="preserve"> performance</w:t>
      </w:r>
      <w:r w:rsidR="000904E4" w:rsidRPr="000315C2">
        <w:rPr>
          <w:rFonts w:asciiTheme="majorHAnsi" w:hAnsiTheme="majorHAnsi" w:cstheme="majorHAnsi"/>
          <w:lang w:val="en"/>
        </w:rPr>
        <w:t xml:space="preserve"> </w:t>
      </w:r>
      <w:r w:rsidR="005A4141" w:rsidRPr="000315C2">
        <w:rPr>
          <w:rFonts w:asciiTheme="majorHAnsi" w:hAnsiTheme="majorHAnsi" w:cstheme="majorHAnsi"/>
          <w:lang w:val="en"/>
        </w:rPr>
        <w:t xml:space="preserve">thresholds, such as those seen in Exhibit </w:t>
      </w:r>
      <w:r>
        <w:rPr>
          <w:rFonts w:asciiTheme="majorHAnsi" w:hAnsiTheme="majorHAnsi" w:cstheme="majorHAnsi"/>
          <w:lang w:val="en"/>
        </w:rPr>
        <w:t>1</w:t>
      </w:r>
      <w:r w:rsidR="0039664E">
        <w:rPr>
          <w:rFonts w:asciiTheme="majorHAnsi" w:hAnsiTheme="majorHAnsi" w:cstheme="majorHAnsi"/>
          <w:lang w:val="en"/>
        </w:rPr>
        <w:t>2</w:t>
      </w:r>
      <w:r w:rsidR="005A4141" w:rsidRPr="000315C2">
        <w:rPr>
          <w:rFonts w:asciiTheme="majorHAnsi" w:hAnsiTheme="majorHAnsi" w:cstheme="majorHAnsi"/>
          <w:lang w:val="en"/>
        </w:rPr>
        <w:t xml:space="preserve">. </w:t>
      </w:r>
      <w:r w:rsidR="00E66CE5">
        <w:rPr>
          <w:rFonts w:asciiTheme="majorHAnsi" w:hAnsiTheme="majorHAnsi" w:cstheme="majorHAnsi"/>
        </w:rPr>
        <w:t>Moreo</w:t>
      </w:r>
      <w:r w:rsidR="009E7AB4">
        <w:rPr>
          <w:rFonts w:asciiTheme="majorHAnsi" w:hAnsiTheme="majorHAnsi" w:cstheme="majorHAnsi"/>
        </w:rPr>
        <w:t>ver</w:t>
      </w:r>
      <w:r w:rsidR="0033435D" w:rsidRPr="000315C2">
        <w:rPr>
          <w:rFonts w:asciiTheme="majorHAnsi" w:hAnsiTheme="majorHAnsi" w:cstheme="majorHAnsi"/>
          <w:lang w:val="en"/>
        </w:rPr>
        <w:t>, the AVM can be assigned one overall grade, instead of</w:t>
      </w:r>
      <w:r>
        <w:rPr>
          <w:rFonts w:asciiTheme="majorHAnsi" w:hAnsiTheme="majorHAnsi" w:cstheme="majorHAnsi"/>
          <w:lang w:val="en"/>
        </w:rPr>
        <w:t>, for example,</w:t>
      </w:r>
      <w:r w:rsidR="000904E4" w:rsidRPr="000315C2">
        <w:rPr>
          <w:rFonts w:asciiTheme="majorHAnsi" w:hAnsiTheme="majorHAnsi" w:cstheme="majorHAnsi"/>
          <w:lang w:val="en"/>
        </w:rPr>
        <w:t xml:space="preserve"> providing</w:t>
      </w:r>
      <w:r w:rsidR="0033435D" w:rsidRPr="000315C2">
        <w:rPr>
          <w:rFonts w:asciiTheme="majorHAnsi" w:hAnsiTheme="majorHAnsi" w:cstheme="majorHAnsi"/>
          <w:lang w:val="en"/>
        </w:rPr>
        <w:t xml:space="preserve"> a checklist of marginal grades. </w:t>
      </w:r>
      <w:r w:rsidR="00363441" w:rsidRPr="000315C2">
        <w:rPr>
          <w:rFonts w:asciiTheme="majorHAnsi" w:hAnsiTheme="majorHAnsi" w:cstheme="majorHAnsi"/>
          <w:lang w:val="en"/>
        </w:rPr>
        <w:t xml:space="preserve"> </w:t>
      </w:r>
      <w:r w:rsidR="00B6148F">
        <w:rPr>
          <w:rFonts w:asciiTheme="majorHAnsi" w:hAnsiTheme="majorHAnsi" w:cstheme="majorHAnsi"/>
        </w:rPr>
        <w:t>That is</w:t>
      </w:r>
      <w:r w:rsidR="0059696B" w:rsidRPr="0059696B">
        <w:rPr>
          <w:rFonts w:asciiTheme="majorHAnsi" w:hAnsiTheme="majorHAnsi" w:cstheme="majorHAnsi"/>
        </w:rPr>
        <w:t>, the 40,278 housing sales from Model 1, FSD 6 can be assigned a checklist of grades for each</w:t>
      </w:r>
      <w:r w:rsidR="00E66CE5">
        <w:rPr>
          <w:rFonts w:asciiTheme="majorHAnsi" w:hAnsiTheme="majorHAnsi" w:cstheme="majorHAnsi"/>
        </w:rPr>
        <w:t xml:space="preserve"> </w:t>
      </w:r>
      <w:r w:rsidR="0059696B" w:rsidRPr="0059696B">
        <w:rPr>
          <w:rFonts w:asciiTheme="majorHAnsi" w:hAnsiTheme="majorHAnsi" w:cstheme="majorHAnsi"/>
        </w:rPr>
        <w:t>individual AVM Performance Metric, measured marginally against the respective</w:t>
      </w:r>
      <w:r w:rsidR="00087790">
        <w:rPr>
          <w:rFonts w:asciiTheme="majorHAnsi" w:hAnsiTheme="majorHAnsi" w:cstheme="majorHAnsi"/>
        </w:rPr>
        <w:t xml:space="preserve"> </w:t>
      </w:r>
      <w:r w:rsidR="0059696B" w:rsidRPr="0059696B">
        <w:rPr>
          <w:rFonts w:asciiTheme="majorHAnsi" w:hAnsiTheme="majorHAnsi" w:cstheme="majorHAnsi"/>
        </w:rPr>
        <w:t>AVM</w:t>
      </w:r>
      <w:r w:rsidR="00087790">
        <w:rPr>
          <w:rFonts w:asciiTheme="majorHAnsi" w:hAnsiTheme="majorHAnsi" w:cstheme="majorHAnsi"/>
        </w:rPr>
        <w:t xml:space="preserve"> performance</w:t>
      </w:r>
      <w:r w:rsidR="0059696B" w:rsidRPr="0059696B">
        <w:rPr>
          <w:rFonts w:asciiTheme="majorHAnsi" w:hAnsiTheme="majorHAnsi" w:cstheme="majorHAnsi"/>
        </w:rPr>
        <w:t xml:space="preserve"> thresholds shown in Exhibit 1</w:t>
      </w:r>
      <w:r w:rsidR="0039664E">
        <w:rPr>
          <w:rFonts w:asciiTheme="majorHAnsi" w:hAnsiTheme="majorHAnsi" w:cstheme="majorHAnsi"/>
        </w:rPr>
        <w:t>2</w:t>
      </w:r>
      <w:r w:rsidR="0059696B" w:rsidRPr="0059696B">
        <w:rPr>
          <w:rFonts w:asciiTheme="majorHAnsi" w:hAnsiTheme="majorHAnsi" w:cstheme="majorHAnsi"/>
        </w:rPr>
        <w:t xml:space="preserve">. Model 1, FSD 6 receives five ‘Strong’ performance grades, together with five ‘Reasonable’ grades.  It does not receive any ‘Acceptable but Weak’ nor ‘Poor’ grades.  </w:t>
      </w:r>
      <w:r w:rsidR="0059696B">
        <w:rPr>
          <w:rFonts w:asciiTheme="majorHAnsi" w:hAnsiTheme="majorHAnsi" w:cstheme="majorHAnsi"/>
        </w:rPr>
        <w:t>However, one might be interested in one overall, collective grade for all 40,278 sales from Model 1, FSD 6.</w:t>
      </w:r>
    </w:p>
    <w:p w14:paraId="45352ACC" w14:textId="385BAF96" w:rsidR="005A4141" w:rsidRPr="000315C2" w:rsidRDefault="005A4141" w:rsidP="005A4141">
      <w:pPr>
        <w:autoSpaceDE w:val="0"/>
        <w:autoSpaceDN w:val="0"/>
        <w:adjustRightInd w:val="0"/>
        <w:spacing w:before="240" w:after="200" w:line="360" w:lineRule="auto"/>
        <w:ind w:firstLine="0"/>
        <w:jc w:val="both"/>
        <w:rPr>
          <w:rFonts w:asciiTheme="majorHAnsi" w:hAnsiTheme="majorHAnsi" w:cstheme="majorHAnsi"/>
          <w:lang w:val="en"/>
        </w:rPr>
      </w:pPr>
      <w:r w:rsidRPr="000315C2">
        <w:rPr>
          <w:rFonts w:asciiTheme="majorHAnsi" w:hAnsiTheme="majorHAnsi" w:cstheme="majorHAnsi"/>
        </w:rPr>
        <w:t>G</w:t>
      </w:r>
      <w:r w:rsidRPr="000315C2">
        <w:t xml:space="preserve">iven a set of AVM performance thresholds, the AVM-ES can merge a checklist of marginal grades to </w:t>
      </w:r>
      <w:r w:rsidR="00F7527F" w:rsidRPr="000315C2">
        <w:t>assign</w:t>
      </w:r>
      <w:r w:rsidRPr="000315C2">
        <w:t xml:space="preserve"> </w:t>
      </w:r>
      <w:r w:rsidR="004D31BC" w:rsidRPr="000315C2">
        <w:t>a collective</w:t>
      </w:r>
      <w:r w:rsidRPr="000315C2">
        <w:t xml:space="preserve"> ordinal grad</w:t>
      </w:r>
      <w:r w:rsidR="00F7527F" w:rsidRPr="000315C2">
        <w:t>e</w:t>
      </w:r>
      <w:r w:rsidR="008271A2" w:rsidRPr="000315C2">
        <w:t xml:space="preserve"> (</w:t>
      </w:r>
      <w:r w:rsidRPr="000315C2">
        <w:t>e.g. ‘Strong’, ‘Reasonable’, ‘Acceptable but Weak’ or ‘Poorly’ performing</w:t>
      </w:r>
      <w:r w:rsidR="008271A2" w:rsidRPr="000315C2">
        <w:t xml:space="preserve">) </w:t>
      </w:r>
      <w:r w:rsidRPr="000315C2">
        <w:t>to qualify AVM performance</w:t>
      </w:r>
      <w:r w:rsidRPr="000315C2">
        <w:rPr>
          <w:rFonts w:asciiTheme="majorHAnsi" w:hAnsiTheme="majorHAnsi" w:cstheme="majorHAnsi"/>
          <w:lang w:val="en"/>
        </w:rPr>
        <w:t xml:space="preserve">. </w:t>
      </w:r>
      <w:r w:rsidR="000315C2" w:rsidRPr="000315C2">
        <w:rPr>
          <w:rFonts w:asciiTheme="majorHAnsi" w:hAnsiTheme="majorHAnsi" w:cstheme="majorHAnsi"/>
          <w:lang w:val="en"/>
        </w:rPr>
        <w:t>Following a</w:t>
      </w:r>
      <w:r w:rsidRPr="000315C2">
        <w:rPr>
          <w:rFonts w:asciiTheme="majorHAnsi" w:hAnsiTheme="majorHAnsi" w:cstheme="majorHAnsi"/>
          <w:lang w:val="en"/>
        </w:rPr>
        <w:t xml:space="preserve"> golf analogy, par can be established for the AVM-ES using specific values for each set (column) of individual AVM performance thresholds observed in Exhibit </w:t>
      </w:r>
      <w:r w:rsidR="000315C2" w:rsidRPr="000315C2">
        <w:rPr>
          <w:rFonts w:asciiTheme="majorHAnsi" w:hAnsiTheme="majorHAnsi" w:cstheme="majorHAnsi"/>
          <w:lang w:val="en"/>
        </w:rPr>
        <w:t>1</w:t>
      </w:r>
      <w:r w:rsidR="0039664E">
        <w:rPr>
          <w:rFonts w:asciiTheme="majorHAnsi" w:hAnsiTheme="majorHAnsi" w:cstheme="majorHAnsi"/>
          <w:lang w:val="en"/>
        </w:rPr>
        <w:t>2</w:t>
      </w:r>
      <w:r w:rsidRPr="000315C2">
        <w:rPr>
          <w:rFonts w:asciiTheme="majorHAnsi" w:hAnsiTheme="majorHAnsi" w:cstheme="majorHAnsi"/>
          <w:lang w:val="en"/>
        </w:rPr>
        <w:t xml:space="preserve">. </w:t>
      </w:r>
      <w:r w:rsidR="00F7527F" w:rsidRPr="000315C2">
        <w:rPr>
          <w:rFonts w:asciiTheme="majorHAnsi" w:hAnsiTheme="majorHAnsi" w:cstheme="majorHAnsi"/>
          <w:lang w:val="en"/>
        </w:rPr>
        <w:t xml:space="preserve"> </w:t>
      </w:r>
      <w:r w:rsidRPr="000315C2">
        <w:rPr>
          <w:rFonts w:asciiTheme="majorHAnsi" w:hAnsiTheme="majorHAnsi" w:cstheme="majorHAnsi"/>
          <w:lang w:val="en"/>
        </w:rPr>
        <w:t xml:space="preserve">For ‘Strong Performance’, the AVM-ES par score is </w:t>
      </w:r>
      <w:r w:rsidRPr="000315C2">
        <w:rPr>
          <w:rFonts w:asciiTheme="majorHAnsi" w:hAnsiTheme="majorHAnsi" w:cstheme="majorHAnsi"/>
        </w:rPr>
        <w:t>0.2752</w:t>
      </w:r>
      <w:r w:rsidRPr="000315C2">
        <w:rPr>
          <w:rFonts w:asciiTheme="majorHAnsi" w:hAnsiTheme="majorHAnsi" w:cstheme="majorHAnsi"/>
          <w:lang w:val="en"/>
        </w:rPr>
        <w:t xml:space="preserve">. For ‘Reasonable Performance’, the AVM-ES par is 0.6411, while for ‘Acceptable but Weak Performance’ the AVM-ES par is </w:t>
      </w:r>
      <w:r w:rsidRPr="000315C2">
        <w:rPr>
          <w:rFonts w:asciiTheme="majorHAnsi" w:hAnsiTheme="majorHAnsi" w:cstheme="majorHAnsi"/>
        </w:rPr>
        <w:t>0.9444</w:t>
      </w:r>
      <w:r w:rsidRPr="000315C2">
        <w:rPr>
          <w:rFonts w:asciiTheme="majorHAnsi" w:hAnsiTheme="majorHAnsi" w:cstheme="majorHAnsi"/>
          <w:lang w:val="en"/>
        </w:rPr>
        <w:t xml:space="preserve">. The interpretation of these par scores is that </w:t>
      </w:r>
      <w:r w:rsidR="00FF1FC1">
        <w:rPr>
          <w:rFonts w:asciiTheme="majorHAnsi" w:hAnsiTheme="majorHAnsi" w:cstheme="majorHAnsi"/>
          <w:lang w:val="en"/>
        </w:rPr>
        <w:t xml:space="preserve">a set of </w:t>
      </w:r>
      <w:r w:rsidRPr="000315C2">
        <w:rPr>
          <w:rFonts w:asciiTheme="majorHAnsi" w:hAnsiTheme="majorHAnsi" w:cstheme="majorHAnsi"/>
          <w:lang w:val="en"/>
        </w:rPr>
        <w:t xml:space="preserve">properties with an associated AVM-ES </w:t>
      </w:r>
      <w:r w:rsidR="000315C2">
        <w:rPr>
          <w:rFonts w:asciiTheme="majorHAnsi" w:hAnsiTheme="majorHAnsi" w:cstheme="majorHAnsi"/>
          <w:lang w:val="en"/>
        </w:rPr>
        <w:t xml:space="preserve">value </w:t>
      </w:r>
      <w:r w:rsidRPr="000315C2">
        <w:rPr>
          <w:rFonts w:asciiTheme="majorHAnsi" w:hAnsiTheme="majorHAnsi" w:cstheme="majorHAnsi"/>
          <w:lang w:val="en"/>
        </w:rPr>
        <w:t xml:space="preserve">below </w:t>
      </w:r>
      <w:r w:rsidRPr="000315C2">
        <w:rPr>
          <w:rFonts w:asciiTheme="majorHAnsi" w:hAnsiTheme="majorHAnsi" w:cstheme="majorHAnsi"/>
        </w:rPr>
        <w:t>0.2752 indicates a strongly performing AVM</w:t>
      </w:r>
      <w:r w:rsidRPr="000315C2">
        <w:rPr>
          <w:rFonts w:asciiTheme="majorHAnsi" w:hAnsiTheme="majorHAnsi" w:cstheme="majorHAnsi"/>
          <w:lang w:val="en"/>
        </w:rPr>
        <w:t xml:space="preserve">, while an AVM-ES </w:t>
      </w:r>
      <w:r w:rsidR="000315C2">
        <w:rPr>
          <w:rFonts w:asciiTheme="majorHAnsi" w:hAnsiTheme="majorHAnsi" w:cstheme="majorHAnsi"/>
          <w:lang w:val="en"/>
        </w:rPr>
        <w:t>value</w:t>
      </w:r>
      <w:r w:rsidRPr="000315C2">
        <w:rPr>
          <w:rFonts w:asciiTheme="majorHAnsi" w:hAnsiTheme="majorHAnsi" w:cstheme="majorHAnsi"/>
          <w:lang w:val="en"/>
        </w:rPr>
        <w:t xml:space="preserve"> between </w:t>
      </w:r>
      <w:r w:rsidRPr="000315C2">
        <w:rPr>
          <w:rFonts w:asciiTheme="majorHAnsi" w:hAnsiTheme="majorHAnsi" w:cstheme="majorHAnsi"/>
        </w:rPr>
        <w:t xml:space="preserve">0.2752 and </w:t>
      </w:r>
      <w:r w:rsidRPr="000315C2">
        <w:rPr>
          <w:rFonts w:asciiTheme="majorHAnsi" w:hAnsiTheme="majorHAnsi" w:cstheme="majorHAnsi"/>
          <w:lang w:val="en"/>
        </w:rPr>
        <w:t xml:space="preserve">0.6411 reflects a reasonably performing AVM.  If the AVM-ES </w:t>
      </w:r>
      <w:r w:rsidR="000315C2">
        <w:rPr>
          <w:rFonts w:asciiTheme="majorHAnsi" w:hAnsiTheme="majorHAnsi" w:cstheme="majorHAnsi"/>
          <w:lang w:val="en"/>
        </w:rPr>
        <w:t>value</w:t>
      </w:r>
      <w:r w:rsidRPr="000315C2">
        <w:rPr>
          <w:rFonts w:asciiTheme="majorHAnsi" w:hAnsiTheme="majorHAnsi" w:cstheme="majorHAnsi"/>
          <w:lang w:val="en"/>
        </w:rPr>
        <w:t xml:space="preserve"> is between 0.6411 and </w:t>
      </w:r>
      <w:r w:rsidRPr="000315C2">
        <w:rPr>
          <w:rFonts w:asciiTheme="majorHAnsi" w:hAnsiTheme="majorHAnsi" w:cstheme="majorHAnsi"/>
        </w:rPr>
        <w:t xml:space="preserve">0.9444, then the AVM is acceptable, but weakly performing and an AVM-ES </w:t>
      </w:r>
      <w:r w:rsidR="000315C2">
        <w:rPr>
          <w:rFonts w:asciiTheme="majorHAnsi" w:hAnsiTheme="majorHAnsi" w:cstheme="majorHAnsi"/>
        </w:rPr>
        <w:t xml:space="preserve">value </w:t>
      </w:r>
      <w:r w:rsidRPr="000315C2">
        <w:rPr>
          <w:rFonts w:asciiTheme="majorHAnsi" w:hAnsiTheme="majorHAnsi" w:cstheme="majorHAnsi"/>
          <w:lang w:val="en"/>
        </w:rPr>
        <w:t xml:space="preserve">above </w:t>
      </w:r>
      <w:r w:rsidRPr="000315C2">
        <w:rPr>
          <w:rFonts w:asciiTheme="majorHAnsi" w:hAnsiTheme="majorHAnsi" w:cstheme="majorHAnsi"/>
        </w:rPr>
        <w:t>0.9444</w:t>
      </w:r>
      <w:r w:rsidRPr="000315C2">
        <w:rPr>
          <w:rFonts w:asciiTheme="majorHAnsi" w:hAnsiTheme="majorHAnsi" w:cstheme="majorHAnsi"/>
          <w:lang w:val="en"/>
        </w:rPr>
        <w:t xml:space="preserve"> suggests poor AVM performance. As a result, each of the 367 AVM/FSD combinations </w:t>
      </w:r>
      <w:r w:rsidR="00FA73B9" w:rsidRPr="000315C2">
        <w:rPr>
          <w:rFonts w:asciiTheme="majorHAnsi" w:hAnsiTheme="majorHAnsi" w:cstheme="majorHAnsi"/>
          <w:lang w:val="en"/>
        </w:rPr>
        <w:t xml:space="preserve">in the </w:t>
      </w:r>
      <w:r w:rsidR="00A0724C">
        <w:rPr>
          <w:rFonts w:asciiTheme="majorHAnsi" w:hAnsiTheme="majorHAnsi" w:cstheme="majorHAnsi"/>
          <w:lang w:val="en"/>
        </w:rPr>
        <w:t>E</w:t>
      </w:r>
      <w:r w:rsidR="00FA73B9" w:rsidRPr="000315C2">
        <w:rPr>
          <w:rFonts w:asciiTheme="majorHAnsi" w:hAnsiTheme="majorHAnsi" w:cstheme="majorHAnsi"/>
          <w:lang w:val="en"/>
        </w:rPr>
        <w:t xml:space="preserve">xpanded AVM-by-FSD analysis </w:t>
      </w:r>
      <w:r w:rsidRPr="000315C2">
        <w:rPr>
          <w:rFonts w:asciiTheme="majorHAnsi" w:hAnsiTheme="majorHAnsi" w:cstheme="majorHAnsi"/>
          <w:lang w:val="en"/>
        </w:rPr>
        <w:t xml:space="preserve">can receive an overall performance grade, according to the pre-set AVM performance thresholds provided in Exhibit </w:t>
      </w:r>
      <w:r w:rsidR="000315C2">
        <w:rPr>
          <w:rFonts w:asciiTheme="majorHAnsi" w:hAnsiTheme="majorHAnsi" w:cstheme="majorHAnsi"/>
          <w:lang w:val="en"/>
        </w:rPr>
        <w:t>1</w:t>
      </w:r>
      <w:r w:rsidR="0039664E">
        <w:rPr>
          <w:rFonts w:asciiTheme="majorHAnsi" w:hAnsiTheme="majorHAnsi" w:cstheme="majorHAnsi"/>
          <w:lang w:val="en"/>
        </w:rPr>
        <w:t>2</w:t>
      </w:r>
      <w:r w:rsidRPr="000315C2">
        <w:rPr>
          <w:rFonts w:asciiTheme="majorHAnsi" w:hAnsiTheme="majorHAnsi" w:cstheme="majorHAnsi"/>
          <w:lang w:val="en"/>
        </w:rPr>
        <w:t>, in contrast to each</w:t>
      </w:r>
      <w:r w:rsidR="000315C2">
        <w:rPr>
          <w:rFonts w:asciiTheme="majorHAnsi" w:hAnsiTheme="majorHAnsi" w:cstheme="majorHAnsi"/>
          <w:lang w:val="en"/>
        </w:rPr>
        <w:t xml:space="preserve"> of the 367 AVM/FSD combinations</w:t>
      </w:r>
      <w:r w:rsidRPr="000315C2">
        <w:rPr>
          <w:rFonts w:asciiTheme="majorHAnsi" w:hAnsiTheme="majorHAnsi" w:cstheme="majorHAnsi"/>
          <w:lang w:val="en"/>
        </w:rPr>
        <w:t xml:space="preserve"> receiving a checklist of eleven marginal grades.</w:t>
      </w:r>
      <w:r w:rsidR="0059696B">
        <w:rPr>
          <w:rFonts w:asciiTheme="majorHAnsi" w:hAnsiTheme="majorHAnsi" w:cstheme="majorHAnsi"/>
          <w:lang w:val="en"/>
        </w:rPr>
        <w:t xml:space="preserve"> </w:t>
      </w:r>
      <w:r w:rsidR="0059696B" w:rsidRPr="00965DF5">
        <w:rPr>
          <w:rFonts w:asciiTheme="majorHAnsi" w:hAnsiTheme="majorHAnsi" w:cstheme="majorHAnsi"/>
          <w:lang w:val="en"/>
        </w:rPr>
        <w:t xml:space="preserve">To illustrate, the 40,278 sales from Model 1, FSD 6 has an AVM-ES value of </w:t>
      </w:r>
      <w:r w:rsidR="00965DF5" w:rsidRPr="00965DF5">
        <w:rPr>
          <w:rFonts w:asciiTheme="majorHAnsi" w:hAnsiTheme="majorHAnsi" w:cstheme="majorHAnsi"/>
          <w:lang w:val="en"/>
        </w:rPr>
        <w:t>0.3606</w:t>
      </w:r>
      <w:r w:rsidR="0059696B" w:rsidRPr="00965DF5">
        <w:rPr>
          <w:rFonts w:asciiTheme="majorHAnsi" w:hAnsiTheme="majorHAnsi" w:cstheme="majorHAnsi"/>
          <w:lang w:val="en"/>
        </w:rPr>
        <w:t xml:space="preserve">, indicating a collective grade of  </w:t>
      </w:r>
      <w:r w:rsidR="00965DF5" w:rsidRPr="00965DF5">
        <w:rPr>
          <w:rFonts w:asciiTheme="majorHAnsi" w:hAnsiTheme="majorHAnsi" w:cstheme="majorHAnsi"/>
          <w:lang w:val="en"/>
        </w:rPr>
        <w:t>‘Reasonable Performance’.</w:t>
      </w:r>
    </w:p>
    <w:p w14:paraId="23B7A8EF" w14:textId="614F31DC" w:rsidR="005A4141" w:rsidRPr="000315C2" w:rsidRDefault="005A4141" w:rsidP="005A4141">
      <w:pPr>
        <w:autoSpaceDE w:val="0"/>
        <w:autoSpaceDN w:val="0"/>
        <w:adjustRightInd w:val="0"/>
        <w:spacing w:before="240" w:after="200" w:line="360" w:lineRule="auto"/>
        <w:ind w:firstLine="0"/>
        <w:jc w:val="both"/>
        <w:rPr>
          <w:rFonts w:asciiTheme="majorHAnsi" w:hAnsiTheme="majorHAnsi" w:cstheme="majorHAnsi"/>
          <w:lang w:val="en"/>
        </w:rPr>
      </w:pPr>
      <w:r w:rsidRPr="000315C2">
        <w:rPr>
          <w:rFonts w:asciiTheme="majorHAnsi" w:hAnsiTheme="majorHAnsi" w:cstheme="majorHAnsi"/>
          <w:lang w:val="en"/>
        </w:rPr>
        <w:t xml:space="preserve">Returning to Model 15, the color coding seen in Exhibit </w:t>
      </w:r>
      <w:r w:rsidR="00DE1DC1" w:rsidRPr="000315C2">
        <w:rPr>
          <w:rFonts w:asciiTheme="majorHAnsi" w:hAnsiTheme="majorHAnsi" w:cstheme="majorHAnsi"/>
          <w:lang w:val="en"/>
        </w:rPr>
        <w:t>7</w:t>
      </w:r>
      <w:r w:rsidRPr="000315C2">
        <w:rPr>
          <w:rFonts w:asciiTheme="majorHAnsi" w:hAnsiTheme="majorHAnsi" w:cstheme="majorHAnsi"/>
          <w:lang w:val="en"/>
        </w:rPr>
        <w:t xml:space="preserve"> (Green, Light Green, Yellow and Light Red) reflects ‘Strong Performance’, ‘Reasonable Performance’, ‘Acceptable but Weak Performance’, and ‘Poor Performance’ grading, respectively, for its </w:t>
      </w:r>
      <w:r w:rsidRPr="000315C2">
        <w:rPr>
          <w:rFonts w:asciiTheme="majorHAnsi" w:eastAsia="Times New Roman" w:hAnsiTheme="majorHAnsi" w:cstheme="majorHAnsi"/>
          <w:color w:val="000000"/>
          <w:lang w:eastAsia="en-US"/>
        </w:rPr>
        <w:t xml:space="preserve">394,952 valuations (housing </w:t>
      </w:r>
      <w:r w:rsidRPr="000315C2">
        <w:rPr>
          <w:rFonts w:asciiTheme="majorHAnsi" w:eastAsia="Times New Roman" w:hAnsiTheme="majorHAnsi" w:cstheme="majorHAnsi"/>
          <w:color w:val="000000"/>
          <w:lang w:eastAsia="en-US"/>
        </w:rPr>
        <w:lastRenderedPageBreak/>
        <w:t>sales)</w:t>
      </w:r>
      <w:r w:rsidRPr="000315C2">
        <w:rPr>
          <w:rFonts w:asciiTheme="majorHAnsi" w:hAnsiTheme="majorHAnsi" w:cstheme="majorHAnsi"/>
          <w:lang w:val="en"/>
        </w:rPr>
        <w:t xml:space="preserve">. Colored in green, valuations from Model 15 with FSD’s 7 and 8 have an AVM-ES below </w:t>
      </w:r>
      <w:r w:rsidRPr="000315C2">
        <w:rPr>
          <w:rFonts w:asciiTheme="majorHAnsi" w:hAnsiTheme="majorHAnsi" w:cstheme="majorHAnsi"/>
        </w:rPr>
        <w:t xml:space="preserve">0.2752, </w:t>
      </w:r>
      <w:r w:rsidRPr="000315C2">
        <w:rPr>
          <w:rFonts w:asciiTheme="majorHAnsi" w:hAnsiTheme="majorHAnsi" w:cstheme="majorHAnsi"/>
          <w:lang w:val="en"/>
        </w:rPr>
        <w:t xml:space="preserve">indicating strong AVM performance. Model 15 has 51.1 percent of its valuations having an FSD labeled as Strongly Performing. Light green colored valuations meet the reasonable AVM performance criteria, respectably, but not the strong performance criteria. Model 15 has 33.9 percent of its valuations with an FSD labeled as Reasonable. FSDs colored in yellow suggest acceptable but weak AVM performance. Model 15 has 8.7 percent of its valuations associated with and FSD that is labeled as Acceptable but Weak.  Lastly, FSDs colored in light red do not meet any set of AVM performance criteria seen in Exhibit </w:t>
      </w:r>
      <w:r w:rsidR="008436B6" w:rsidRPr="000315C2">
        <w:rPr>
          <w:rFonts w:asciiTheme="majorHAnsi" w:hAnsiTheme="majorHAnsi" w:cstheme="majorHAnsi"/>
          <w:lang w:val="en"/>
        </w:rPr>
        <w:t>6</w:t>
      </w:r>
      <w:r w:rsidRPr="000315C2">
        <w:rPr>
          <w:rFonts w:asciiTheme="majorHAnsi" w:hAnsiTheme="majorHAnsi" w:cstheme="majorHAnsi"/>
          <w:lang w:val="en"/>
        </w:rPr>
        <w:t>.  Model 15, having an FSD of 15 or higher, has 6.3 percent of its valuations with an FSD labeled as Poorly Performing.  Consequentially, an example of the utility offered by the AVM-ES, is a recommendation for Model 15 that it performs best when providing the client with a</w:t>
      </w:r>
      <w:r w:rsidR="00F7527F" w:rsidRPr="000315C2">
        <w:rPr>
          <w:rFonts w:asciiTheme="majorHAnsi" w:hAnsiTheme="majorHAnsi" w:cstheme="majorHAnsi"/>
          <w:lang w:val="en"/>
        </w:rPr>
        <w:t xml:space="preserve"> vendor-reported</w:t>
      </w:r>
      <w:r w:rsidR="003F0C7C">
        <w:rPr>
          <w:rFonts w:asciiTheme="majorHAnsi" w:hAnsiTheme="majorHAnsi" w:cstheme="majorHAnsi"/>
          <w:lang w:val="en"/>
        </w:rPr>
        <w:t xml:space="preserve"> </w:t>
      </w:r>
      <w:r w:rsidRPr="000315C2">
        <w:rPr>
          <w:rFonts w:asciiTheme="majorHAnsi" w:hAnsiTheme="majorHAnsi" w:cstheme="majorHAnsi"/>
          <w:lang w:val="en"/>
        </w:rPr>
        <w:t xml:space="preserve">FSD of 7 or 8, and it performs poorly when the </w:t>
      </w:r>
      <w:r w:rsidR="00F7527F" w:rsidRPr="000315C2">
        <w:rPr>
          <w:rFonts w:asciiTheme="majorHAnsi" w:hAnsiTheme="majorHAnsi" w:cstheme="majorHAnsi"/>
          <w:lang w:val="en"/>
        </w:rPr>
        <w:t xml:space="preserve">vendor-reported </w:t>
      </w:r>
      <w:r w:rsidRPr="000315C2">
        <w:rPr>
          <w:rFonts w:asciiTheme="majorHAnsi" w:hAnsiTheme="majorHAnsi" w:cstheme="majorHAnsi"/>
          <w:lang w:val="en"/>
        </w:rPr>
        <w:t>FSD is 15 or higher.</w:t>
      </w:r>
    </w:p>
    <w:p w14:paraId="40DBFFB2" w14:textId="6183E8ED" w:rsidR="00E12AF9" w:rsidRPr="00E12AF9" w:rsidRDefault="0072443C" w:rsidP="00E12AF9">
      <w:pPr>
        <w:tabs>
          <w:tab w:val="num" w:pos="720"/>
        </w:tabs>
        <w:spacing w:before="240" w:line="360" w:lineRule="auto"/>
        <w:ind w:firstLine="0"/>
        <w:rPr>
          <w:rFonts w:asciiTheme="majorHAnsi" w:hAnsiTheme="majorHAnsi" w:cstheme="majorHAnsi"/>
          <w:b/>
          <w:bCs/>
        </w:rPr>
      </w:pPr>
      <w:bookmarkStart w:id="12" w:name="_Hlk3438190"/>
      <w:r>
        <w:rPr>
          <w:rFonts w:cstheme="majorHAnsi"/>
          <w:b/>
          <w:bCs/>
          <w:sz w:val="28"/>
          <w:szCs w:val="28"/>
        </w:rPr>
        <w:t>6</w:t>
      </w:r>
      <w:r w:rsidR="00A8715B">
        <w:rPr>
          <w:rFonts w:cstheme="majorHAnsi"/>
          <w:b/>
          <w:bCs/>
          <w:sz w:val="28"/>
          <w:szCs w:val="28"/>
        </w:rPr>
        <w:t xml:space="preserve">. </w:t>
      </w:r>
      <w:r w:rsidR="00D37C52">
        <w:rPr>
          <w:rFonts w:cstheme="majorHAnsi"/>
          <w:b/>
          <w:bCs/>
          <w:sz w:val="28"/>
          <w:szCs w:val="28"/>
        </w:rPr>
        <w:t xml:space="preserve">Discussion and </w:t>
      </w:r>
      <w:r w:rsidR="00E12AF9">
        <w:rPr>
          <w:rFonts w:cstheme="majorHAnsi"/>
          <w:b/>
          <w:bCs/>
          <w:sz w:val="28"/>
          <w:szCs w:val="28"/>
        </w:rPr>
        <w:t>Conclusions</w:t>
      </w:r>
    </w:p>
    <w:p w14:paraId="3F8A3632" w14:textId="203BF465" w:rsidR="00690691" w:rsidRDefault="00D84ABA" w:rsidP="00E62028">
      <w:pPr>
        <w:tabs>
          <w:tab w:val="num" w:pos="720"/>
        </w:tabs>
        <w:spacing w:line="360" w:lineRule="auto"/>
        <w:ind w:firstLine="0"/>
        <w:jc w:val="both"/>
        <w:rPr>
          <w:rFonts w:asciiTheme="majorHAnsi" w:hAnsiTheme="majorHAnsi" w:cstheme="majorHAnsi"/>
        </w:rPr>
      </w:pPr>
      <w:r>
        <w:rPr>
          <w:rFonts w:asciiTheme="majorHAnsi" w:hAnsiTheme="majorHAnsi" w:cstheme="majorHAnsi"/>
        </w:rPr>
        <w:t xml:space="preserve">This study </w:t>
      </w:r>
      <w:r w:rsidR="00A30A97">
        <w:rPr>
          <w:rFonts w:asciiTheme="majorHAnsi" w:hAnsiTheme="majorHAnsi" w:cstheme="majorHAnsi"/>
        </w:rPr>
        <w:t>shows</w:t>
      </w:r>
      <w:r>
        <w:rPr>
          <w:rFonts w:asciiTheme="majorHAnsi" w:hAnsiTheme="majorHAnsi" w:cstheme="majorHAnsi"/>
        </w:rPr>
        <w:t xml:space="preserve"> how AVMs are calibrated</w:t>
      </w:r>
      <w:r w:rsidR="00EA3C35">
        <w:rPr>
          <w:rFonts w:asciiTheme="majorHAnsi" w:hAnsiTheme="majorHAnsi" w:cstheme="majorHAnsi"/>
        </w:rPr>
        <w:t>,</w:t>
      </w:r>
      <w:r>
        <w:rPr>
          <w:rFonts w:asciiTheme="majorHAnsi" w:hAnsiTheme="majorHAnsi" w:cstheme="majorHAnsi"/>
        </w:rPr>
        <w:t xml:space="preserve"> </w:t>
      </w:r>
      <w:r w:rsidR="00EA3C35">
        <w:rPr>
          <w:rFonts w:asciiTheme="majorHAnsi" w:hAnsiTheme="majorHAnsi" w:cstheme="majorHAnsi"/>
        </w:rPr>
        <w:t xml:space="preserve">by detailing the currently-used, </w:t>
      </w:r>
      <w:r w:rsidR="00EA3C35" w:rsidRPr="00114C7E">
        <w:rPr>
          <w:rFonts w:asciiTheme="majorHAnsi" w:hAnsiTheme="majorHAnsi" w:cstheme="majorHAnsi"/>
        </w:rPr>
        <w:t>industry testing</w:t>
      </w:r>
      <w:r w:rsidR="00EA3C35" w:rsidRPr="003D360D">
        <w:rPr>
          <w:rFonts w:asciiTheme="majorHAnsi" w:hAnsiTheme="majorHAnsi" w:cstheme="majorHAnsi"/>
          <w:i/>
          <w:iCs/>
        </w:rPr>
        <w:t xml:space="preserve"> </w:t>
      </w:r>
      <w:r w:rsidR="00EA3C35">
        <w:rPr>
          <w:rFonts w:asciiTheme="majorHAnsi" w:hAnsiTheme="majorHAnsi" w:cstheme="majorHAnsi"/>
        </w:rPr>
        <w:t xml:space="preserve">of AVM valuations by independent third-parties. </w:t>
      </w:r>
      <w:r w:rsidR="004B1772" w:rsidRPr="00690691">
        <w:rPr>
          <w:rFonts w:asciiTheme="majorHAnsi" w:hAnsiTheme="majorHAnsi" w:cstheme="majorHAnsi"/>
        </w:rPr>
        <w:t>An</w:t>
      </w:r>
      <w:r w:rsidR="00690691" w:rsidRPr="00690691">
        <w:rPr>
          <w:rFonts w:asciiTheme="majorHAnsi" w:hAnsiTheme="majorHAnsi" w:cstheme="majorHAnsi"/>
        </w:rPr>
        <w:t xml:space="preserve"> AVM-by-FSD analysis is performed to test the accuracy of the FSD, </w:t>
      </w:r>
      <w:r w:rsidR="00126CC3">
        <w:rPr>
          <w:rFonts w:asciiTheme="majorHAnsi" w:hAnsiTheme="majorHAnsi" w:cstheme="majorHAnsi"/>
        </w:rPr>
        <w:t>reported</w:t>
      </w:r>
      <w:r w:rsidR="00690691" w:rsidRPr="00690691">
        <w:rPr>
          <w:rFonts w:asciiTheme="majorHAnsi" w:hAnsiTheme="majorHAnsi" w:cstheme="majorHAnsi"/>
        </w:rPr>
        <w:t xml:space="preserve"> by the AVM vendor</w:t>
      </w:r>
      <w:r w:rsidR="00D37C52">
        <w:rPr>
          <w:rFonts w:asciiTheme="majorHAnsi" w:hAnsiTheme="majorHAnsi" w:cstheme="majorHAnsi"/>
        </w:rPr>
        <w:t xml:space="preserve"> along </w:t>
      </w:r>
      <w:r w:rsidR="00690691">
        <w:rPr>
          <w:rFonts w:asciiTheme="majorHAnsi" w:hAnsiTheme="majorHAnsi" w:cstheme="majorHAnsi"/>
        </w:rPr>
        <w:t>with the</w:t>
      </w:r>
      <w:r w:rsidR="00690691" w:rsidRPr="00690691">
        <w:rPr>
          <w:rFonts w:asciiTheme="majorHAnsi" w:hAnsiTheme="majorHAnsi" w:cstheme="majorHAnsi"/>
        </w:rPr>
        <w:t xml:space="preserve"> value estimate for a target property. </w:t>
      </w:r>
      <w:r w:rsidR="00EA3C35">
        <w:rPr>
          <w:rFonts w:asciiTheme="majorHAnsi" w:hAnsiTheme="majorHAnsi" w:cstheme="majorHAnsi"/>
        </w:rPr>
        <w:t xml:space="preserve"> </w:t>
      </w:r>
      <w:r w:rsidR="006C3A5B">
        <w:rPr>
          <w:rFonts w:cstheme="minorHAnsi"/>
        </w:rPr>
        <w:t xml:space="preserve">An AVM-by-FSD analysis allows </w:t>
      </w:r>
      <w:r w:rsidR="006C3A5B" w:rsidRPr="00690691">
        <w:rPr>
          <w:rFonts w:asciiTheme="majorHAnsi" w:hAnsiTheme="majorHAnsi" w:cstheme="majorHAnsi"/>
          <w:lang w:val="en"/>
        </w:rPr>
        <w:t>federal regulators to assess</w:t>
      </w:r>
      <w:r w:rsidR="006C3A5B" w:rsidRPr="00690691">
        <w:rPr>
          <w:rFonts w:ascii="Times New Roman" w:hAnsi="Times New Roman" w:cs="Times New Roman"/>
        </w:rPr>
        <w:t xml:space="preserve"> the credibility of an AVM</w:t>
      </w:r>
      <w:r w:rsidR="00BD0DD8">
        <w:rPr>
          <w:rFonts w:ascii="Times New Roman" w:hAnsi="Times New Roman" w:cs="Times New Roman"/>
        </w:rPr>
        <w:t xml:space="preserve"> using actual sales data</w:t>
      </w:r>
      <w:r w:rsidR="006C3A5B" w:rsidRPr="00690691">
        <w:rPr>
          <w:rFonts w:ascii="Times New Roman" w:hAnsi="Times New Roman" w:cs="Times New Roman"/>
        </w:rPr>
        <w:t>,</w:t>
      </w:r>
      <w:r w:rsidR="006C3A5B" w:rsidRPr="00690691">
        <w:rPr>
          <w:rFonts w:asciiTheme="majorHAnsi" w:hAnsiTheme="majorHAnsi" w:cstheme="majorHAnsi"/>
          <w:lang w:val="en"/>
        </w:rPr>
        <w:t xml:space="preserve"> as recommended by the </w:t>
      </w:r>
      <w:r w:rsidR="006C3A5B" w:rsidRPr="00690691">
        <w:rPr>
          <w:rFonts w:ascii="Times New Roman" w:hAnsi="Times New Roman" w:cs="Times New Roman"/>
        </w:rPr>
        <w:t>Interagency Appraisal and Evaluation Guidelines (2010, Appendix B).</w:t>
      </w:r>
      <w:r w:rsidR="006C3A5B">
        <w:rPr>
          <w:rFonts w:ascii="Times New Roman" w:hAnsi="Times New Roman" w:cs="Times New Roman"/>
        </w:rPr>
        <w:t xml:space="preserve"> </w:t>
      </w:r>
      <w:r w:rsidR="00690691" w:rsidRPr="00690691">
        <w:rPr>
          <w:rFonts w:asciiTheme="majorHAnsi" w:hAnsiTheme="majorHAnsi" w:cstheme="majorHAnsi"/>
        </w:rPr>
        <w:t xml:space="preserve">The AVM-by-FSD analysis of </w:t>
      </w:r>
      <w:r w:rsidR="001E1AE7">
        <w:rPr>
          <w:rFonts w:cstheme="minorHAnsi"/>
        </w:rPr>
        <w:t xml:space="preserve">455,563 </w:t>
      </w:r>
      <w:r w:rsidR="00690691" w:rsidRPr="00690691">
        <w:rPr>
          <w:rFonts w:asciiTheme="majorHAnsi" w:hAnsiTheme="majorHAnsi" w:cstheme="majorHAnsi"/>
        </w:rPr>
        <w:t xml:space="preserve"> housing sales across the United States in the third quarter of 2018</w:t>
      </w:r>
      <w:r w:rsidR="00F61C43">
        <w:rPr>
          <w:rFonts w:asciiTheme="majorHAnsi" w:hAnsiTheme="majorHAnsi" w:cstheme="majorHAnsi"/>
        </w:rPr>
        <w:t xml:space="preserve"> </w:t>
      </w:r>
      <w:r w:rsidR="00690691" w:rsidRPr="00D37C52">
        <w:rPr>
          <w:rFonts w:asciiTheme="majorHAnsi" w:hAnsiTheme="majorHAnsi" w:cstheme="majorHAnsi"/>
        </w:rPr>
        <w:t xml:space="preserve">reveals that the vendor-reported FSD is </w:t>
      </w:r>
      <w:r w:rsidR="000B6CAD" w:rsidRPr="00D37C52">
        <w:rPr>
          <w:rFonts w:asciiTheme="majorHAnsi" w:hAnsiTheme="majorHAnsi" w:cstheme="majorHAnsi"/>
        </w:rPr>
        <w:t>corroborated as accurate for only 27 (7.4</w:t>
      </w:r>
      <w:r w:rsidR="00A057C2">
        <w:rPr>
          <w:rFonts w:asciiTheme="majorHAnsi" w:hAnsiTheme="majorHAnsi" w:cstheme="majorHAnsi"/>
        </w:rPr>
        <w:t>%</w:t>
      </w:r>
      <w:r w:rsidR="000B6CAD" w:rsidRPr="00D37C52">
        <w:rPr>
          <w:rFonts w:asciiTheme="majorHAnsi" w:hAnsiTheme="majorHAnsi" w:cstheme="majorHAnsi"/>
        </w:rPr>
        <w:t>) of the 367 AVM/FSD combinations.  In other words, 340 of the 367 (92.6</w:t>
      </w:r>
      <w:r w:rsidR="00D37C52">
        <w:rPr>
          <w:rFonts w:asciiTheme="majorHAnsi" w:hAnsiTheme="majorHAnsi" w:cstheme="majorHAnsi"/>
        </w:rPr>
        <w:t>%</w:t>
      </w:r>
      <w:r w:rsidR="000B6CAD" w:rsidRPr="00D37C52">
        <w:rPr>
          <w:rFonts w:asciiTheme="majorHAnsi" w:hAnsiTheme="majorHAnsi" w:cstheme="majorHAnsi"/>
        </w:rPr>
        <w:t xml:space="preserve">) AVM/FSD combinations </w:t>
      </w:r>
      <w:r w:rsidR="00D92917" w:rsidRPr="00D37C52">
        <w:rPr>
          <w:rFonts w:asciiTheme="majorHAnsi" w:hAnsiTheme="majorHAnsi" w:cstheme="majorHAnsi"/>
        </w:rPr>
        <w:t>have their vendor-reported FSDs being</w:t>
      </w:r>
      <w:r w:rsidR="000B6CAD" w:rsidRPr="00D37C52">
        <w:rPr>
          <w:rFonts w:asciiTheme="majorHAnsi" w:hAnsiTheme="majorHAnsi" w:cstheme="majorHAnsi"/>
        </w:rPr>
        <w:t xml:space="preserve"> </w:t>
      </w:r>
      <w:r w:rsidR="00690691" w:rsidRPr="00D37C52">
        <w:rPr>
          <w:rFonts w:asciiTheme="majorHAnsi" w:hAnsiTheme="majorHAnsi" w:cstheme="majorHAnsi"/>
        </w:rPr>
        <w:t>statistically significantly</w:t>
      </w:r>
      <w:r w:rsidR="000B6CAD" w:rsidRPr="00D37C52">
        <w:rPr>
          <w:rFonts w:asciiTheme="majorHAnsi" w:hAnsiTheme="majorHAnsi" w:cstheme="majorHAnsi"/>
        </w:rPr>
        <w:t xml:space="preserve"> d</w:t>
      </w:r>
      <w:r w:rsidR="00690691" w:rsidRPr="00D37C52">
        <w:rPr>
          <w:rFonts w:asciiTheme="majorHAnsi" w:hAnsiTheme="majorHAnsi" w:cstheme="majorHAnsi"/>
        </w:rPr>
        <w:t>ifferent</w:t>
      </w:r>
      <w:r w:rsidR="00991CE6" w:rsidRPr="00D37C52">
        <w:rPr>
          <w:rFonts w:asciiTheme="majorHAnsi" w:hAnsiTheme="majorHAnsi" w:cstheme="majorHAnsi"/>
        </w:rPr>
        <w:t xml:space="preserve"> </w:t>
      </w:r>
      <w:r w:rsidR="004C4C35" w:rsidRPr="00D37C52">
        <w:rPr>
          <w:rFonts w:asciiTheme="majorHAnsi" w:hAnsiTheme="majorHAnsi" w:cstheme="majorHAnsi"/>
        </w:rPr>
        <w:t>from</w:t>
      </w:r>
      <w:r w:rsidR="00991CE6" w:rsidRPr="00D37C52">
        <w:rPr>
          <w:rFonts w:asciiTheme="majorHAnsi" w:hAnsiTheme="majorHAnsi" w:cstheme="majorHAnsi"/>
        </w:rPr>
        <w:t xml:space="preserve"> the </w:t>
      </w:r>
      <w:r w:rsidR="00F51FA4">
        <w:rPr>
          <w:rFonts w:asciiTheme="majorHAnsi" w:hAnsiTheme="majorHAnsi" w:cstheme="majorHAnsi"/>
        </w:rPr>
        <w:t>Observed Standard Deviation</w:t>
      </w:r>
      <w:r w:rsidR="00690691" w:rsidRPr="00D37C52">
        <w:rPr>
          <w:rFonts w:asciiTheme="majorHAnsi" w:hAnsiTheme="majorHAnsi" w:cstheme="majorHAnsi"/>
        </w:rPr>
        <w:t xml:space="preserve">. </w:t>
      </w:r>
      <w:r w:rsidR="00893730" w:rsidRPr="0030643C">
        <w:rPr>
          <w:rFonts w:asciiTheme="majorHAnsi" w:hAnsiTheme="majorHAnsi" w:cstheme="majorHAnsi"/>
        </w:rPr>
        <w:t>T</w:t>
      </w:r>
      <w:r w:rsidR="00893730" w:rsidRPr="0030643C">
        <w:rPr>
          <w:rFonts w:ascii="Times New Roman" w:hAnsi="Times New Roman" w:cs="Times New Roman"/>
        </w:rPr>
        <w:t xml:space="preserve">he observation that </w:t>
      </w:r>
      <w:r w:rsidR="00AC48F2">
        <w:rPr>
          <w:rFonts w:ascii="Times New Roman" w:hAnsi="Times New Roman" w:cs="Times New Roman"/>
        </w:rPr>
        <w:t xml:space="preserve">most </w:t>
      </w:r>
      <w:r w:rsidR="00893730" w:rsidRPr="0030643C">
        <w:rPr>
          <w:rFonts w:asciiTheme="majorHAnsi" w:hAnsiTheme="majorHAnsi" w:cstheme="majorHAnsi"/>
        </w:rPr>
        <w:t xml:space="preserve">AVM vendor-reported FSDs are inaccurate </w:t>
      </w:r>
      <w:r w:rsidR="00114CA7" w:rsidRPr="0030643C">
        <w:rPr>
          <w:rFonts w:asciiTheme="majorHAnsi" w:hAnsiTheme="majorHAnsi" w:cstheme="majorHAnsi"/>
        </w:rPr>
        <w:t>when empirically tested</w:t>
      </w:r>
      <w:r w:rsidR="00893730" w:rsidRPr="0030643C">
        <w:rPr>
          <w:rFonts w:asciiTheme="majorHAnsi" w:hAnsiTheme="majorHAnsi" w:cstheme="majorHAnsi"/>
        </w:rPr>
        <w:t xml:space="preserve">, only </w:t>
      </w:r>
      <w:r w:rsidR="0030643C" w:rsidRPr="0030643C">
        <w:rPr>
          <w:rFonts w:asciiTheme="majorHAnsi" w:hAnsiTheme="majorHAnsi" w:cstheme="majorHAnsi"/>
        </w:rPr>
        <w:t>reinforces</w:t>
      </w:r>
      <w:r w:rsidR="00893730" w:rsidRPr="0030643C">
        <w:rPr>
          <w:rFonts w:asciiTheme="majorHAnsi" w:hAnsiTheme="majorHAnsi" w:cstheme="majorHAnsi"/>
        </w:rPr>
        <w:t xml:space="preserve"> </w:t>
      </w:r>
      <w:r w:rsidR="0030643C" w:rsidRPr="0030643C">
        <w:rPr>
          <w:rFonts w:asciiTheme="majorHAnsi" w:hAnsiTheme="majorHAnsi" w:cstheme="majorHAnsi"/>
        </w:rPr>
        <w:t>the</w:t>
      </w:r>
      <w:r w:rsidR="00D37C52" w:rsidRPr="0030643C">
        <w:rPr>
          <w:rFonts w:asciiTheme="majorHAnsi" w:hAnsiTheme="majorHAnsi" w:cstheme="majorHAnsi"/>
        </w:rPr>
        <w:t xml:space="preserve"> </w:t>
      </w:r>
      <w:r w:rsidR="0030643C" w:rsidRPr="0030643C">
        <w:rPr>
          <w:rFonts w:asciiTheme="majorHAnsi" w:hAnsiTheme="majorHAnsi" w:cstheme="majorHAnsi"/>
        </w:rPr>
        <w:t>lack of uniformity</w:t>
      </w:r>
      <w:r w:rsidR="0030643C">
        <w:rPr>
          <w:rFonts w:asciiTheme="majorHAnsi" w:hAnsiTheme="majorHAnsi" w:cstheme="majorHAnsi"/>
        </w:rPr>
        <w:t xml:space="preserve">, </w:t>
      </w:r>
      <w:r w:rsidR="0030643C" w:rsidRPr="0030643C">
        <w:rPr>
          <w:rFonts w:asciiTheme="majorHAnsi" w:hAnsiTheme="majorHAnsi" w:cstheme="majorHAnsi"/>
        </w:rPr>
        <w:t xml:space="preserve">in both </w:t>
      </w:r>
      <w:r w:rsidR="0030643C">
        <w:rPr>
          <w:rFonts w:asciiTheme="majorHAnsi" w:hAnsiTheme="majorHAnsi" w:cstheme="majorHAnsi"/>
        </w:rPr>
        <w:t>the FSDs</w:t>
      </w:r>
      <w:r w:rsidR="0030643C" w:rsidRPr="0030643C">
        <w:rPr>
          <w:rFonts w:asciiTheme="majorHAnsi" w:hAnsiTheme="majorHAnsi" w:cstheme="majorHAnsi"/>
        </w:rPr>
        <w:t xml:space="preserve"> definition and its calculation standards</w:t>
      </w:r>
      <w:r w:rsidR="0030643C">
        <w:rPr>
          <w:rFonts w:asciiTheme="majorHAnsi" w:hAnsiTheme="majorHAnsi" w:cstheme="majorHAnsi"/>
        </w:rPr>
        <w:t>,</w:t>
      </w:r>
      <w:r w:rsidR="0030643C" w:rsidRPr="0030643C">
        <w:rPr>
          <w:rFonts w:asciiTheme="majorHAnsi" w:hAnsiTheme="majorHAnsi" w:cstheme="majorHAnsi"/>
        </w:rPr>
        <w:t xml:space="preserve"> across the AVM industry</w:t>
      </w:r>
      <w:r w:rsidR="00893730" w:rsidRPr="0030643C">
        <w:rPr>
          <w:rFonts w:asciiTheme="majorHAnsi" w:hAnsiTheme="majorHAnsi" w:cstheme="majorHAnsi"/>
        </w:rPr>
        <w:t xml:space="preserve">. </w:t>
      </w:r>
      <w:r w:rsidR="00A56986" w:rsidRPr="0030643C">
        <w:rPr>
          <w:rFonts w:asciiTheme="majorHAnsi" w:hAnsiTheme="majorHAnsi" w:cstheme="majorHAnsi"/>
        </w:rPr>
        <w:t>Moreover</w:t>
      </w:r>
      <w:r w:rsidR="00690691" w:rsidRPr="0030643C">
        <w:rPr>
          <w:rFonts w:asciiTheme="majorHAnsi" w:hAnsiTheme="majorHAnsi" w:cstheme="majorHAnsi"/>
        </w:rPr>
        <w:t>, of the 340 AVM/FSD combinations</w:t>
      </w:r>
      <w:r w:rsidR="000D15CE" w:rsidRPr="0030643C">
        <w:rPr>
          <w:rFonts w:asciiTheme="majorHAnsi" w:hAnsiTheme="majorHAnsi" w:cstheme="majorHAnsi"/>
        </w:rPr>
        <w:t xml:space="preserve"> that are statistically significantly different</w:t>
      </w:r>
      <w:r w:rsidR="00690691" w:rsidRPr="0030643C">
        <w:rPr>
          <w:rFonts w:asciiTheme="majorHAnsi" w:hAnsiTheme="majorHAnsi" w:cstheme="majorHAnsi"/>
        </w:rPr>
        <w:t>, 267 (78.</w:t>
      </w:r>
      <w:r w:rsidR="00690691">
        <w:rPr>
          <w:rFonts w:asciiTheme="majorHAnsi" w:hAnsiTheme="majorHAnsi" w:cstheme="majorHAnsi"/>
        </w:rPr>
        <w:t>5</w:t>
      </w:r>
      <w:r w:rsidR="00A057C2">
        <w:rPr>
          <w:rFonts w:asciiTheme="majorHAnsi" w:hAnsiTheme="majorHAnsi" w:cstheme="majorHAnsi"/>
        </w:rPr>
        <w:t>%</w:t>
      </w:r>
      <w:r w:rsidR="00690691">
        <w:rPr>
          <w:rFonts w:asciiTheme="majorHAnsi" w:hAnsiTheme="majorHAnsi" w:cstheme="majorHAnsi"/>
        </w:rPr>
        <w:t xml:space="preserve">) </w:t>
      </w:r>
      <w:r w:rsidR="000D15CE">
        <w:rPr>
          <w:rFonts w:asciiTheme="majorHAnsi" w:hAnsiTheme="majorHAnsi" w:cstheme="majorHAnsi"/>
        </w:rPr>
        <w:t xml:space="preserve">are </w:t>
      </w:r>
      <w:r w:rsidR="00690691">
        <w:rPr>
          <w:rFonts w:asciiTheme="majorHAnsi" w:hAnsiTheme="majorHAnsi" w:cstheme="majorHAnsi"/>
        </w:rPr>
        <w:t>underreport</w:t>
      </w:r>
      <w:r w:rsidR="000D15CE">
        <w:rPr>
          <w:rFonts w:asciiTheme="majorHAnsi" w:hAnsiTheme="majorHAnsi" w:cstheme="majorHAnsi"/>
        </w:rPr>
        <w:t>ed,</w:t>
      </w:r>
      <w:r w:rsidR="00690691">
        <w:rPr>
          <w:rFonts w:asciiTheme="majorHAnsi" w:hAnsiTheme="majorHAnsi" w:cstheme="majorHAnsi"/>
        </w:rPr>
        <w:t xml:space="preserve"> </w:t>
      </w:r>
      <w:r w:rsidR="00D37C52">
        <w:rPr>
          <w:rFonts w:asciiTheme="majorHAnsi" w:hAnsiTheme="majorHAnsi" w:cstheme="majorHAnsi"/>
        </w:rPr>
        <w:t>which gives the appearance that AVM valuations are more precise than they really are.</w:t>
      </w:r>
    </w:p>
    <w:p w14:paraId="0AFA19FC" w14:textId="7C7B8879" w:rsidR="00C20B21" w:rsidRDefault="00A56986" w:rsidP="00690691">
      <w:pPr>
        <w:tabs>
          <w:tab w:val="num" w:pos="720"/>
        </w:tabs>
        <w:spacing w:before="240" w:line="360" w:lineRule="auto"/>
        <w:ind w:firstLine="0"/>
        <w:jc w:val="both"/>
        <w:rPr>
          <w:rFonts w:asciiTheme="majorHAnsi" w:hAnsiTheme="majorHAnsi" w:cstheme="majorHAnsi"/>
        </w:rPr>
      </w:pPr>
      <w:r>
        <w:rPr>
          <w:rFonts w:asciiTheme="majorHAnsi" w:hAnsiTheme="majorHAnsi" w:cstheme="majorHAnsi"/>
        </w:rPr>
        <w:t>Because the</w:t>
      </w:r>
      <w:r w:rsidR="00F77F3E">
        <w:rPr>
          <w:rFonts w:asciiTheme="majorHAnsi" w:hAnsiTheme="majorHAnsi" w:cstheme="majorHAnsi"/>
        </w:rPr>
        <w:t xml:space="preserve"> </w:t>
      </w:r>
      <w:r w:rsidR="00D84ABA">
        <w:rPr>
          <w:rFonts w:asciiTheme="majorHAnsi" w:hAnsiTheme="majorHAnsi" w:cstheme="majorHAnsi"/>
        </w:rPr>
        <w:t>FSD</w:t>
      </w:r>
      <w:r>
        <w:rPr>
          <w:rFonts w:asciiTheme="majorHAnsi" w:hAnsiTheme="majorHAnsi" w:cstheme="majorHAnsi"/>
        </w:rPr>
        <w:t xml:space="preserve"> </w:t>
      </w:r>
      <w:r w:rsidR="00C20B21">
        <w:rPr>
          <w:rFonts w:asciiTheme="majorHAnsi" w:hAnsiTheme="majorHAnsi" w:cstheme="majorHAnsi"/>
        </w:rPr>
        <w:t xml:space="preserve">only </w:t>
      </w:r>
      <w:r>
        <w:rPr>
          <w:rFonts w:asciiTheme="majorHAnsi" w:hAnsiTheme="majorHAnsi" w:cstheme="majorHAnsi"/>
        </w:rPr>
        <w:t xml:space="preserve">measures one component (precision) of a set of sales errors, additional </w:t>
      </w:r>
      <w:r w:rsidR="00FD48BC">
        <w:rPr>
          <w:rFonts w:asciiTheme="majorHAnsi" w:hAnsiTheme="majorHAnsi" w:cstheme="majorHAnsi"/>
        </w:rPr>
        <w:t>metrics</w:t>
      </w:r>
      <w:r>
        <w:rPr>
          <w:rFonts w:asciiTheme="majorHAnsi" w:hAnsiTheme="majorHAnsi" w:cstheme="majorHAnsi"/>
        </w:rPr>
        <w:t xml:space="preserve"> </w:t>
      </w:r>
      <w:r w:rsidR="004C07C8">
        <w:rPr>
          <w:rFonts w:asciiTheme="majorHAnsi" w:hAnsiTheme="majorHAnsi" w:cstheme="majorHAnsi"/>
        </w:rPr>
        <w:t xml:space="preserve">should </w:t>
      </w:r>
      <w:r w:rsidR="00C20B21">
        <w:rPr>
          <w:rFonts w:asciiTheme="majorHAnsi" w:hAnsiTheme="majorHAnsi" w:cstheme="majorHAnsi"/>
        </w:rPr>
        <w:t xml:space="preserve">be employed to </w:t>
      </w:r>
      <w:r w:rsidR="0059696B">
        <w:rPr>
          <w:rFonts w:asciiTheme="majorHAnsi" w:hAnsiTheme="majorHAnsi" w:cstheme="majorHAnsi"/>
        </w:rPr>
        <w:t>assess</w:t>
      </w:r>
      <w:r w:rsidR="00B6148F">
        <w:rPr>
          <w:rFonts w:asciiTheme="majorHAnsi" w:hAnsiTheme="majorHAnsi" w:cstheme="majorHAnsi"/>
        </w:rPr>
        <w:t xml:space="preserve"> overall</w:t>
      </w:r>
      <w:r>
        <w:rPr>
          <w:rFonts w:asciiTheme="majorHAnsi" w:hAnsiTheme="majorHAnsi" w:cstheme="majorHAnsi"/>
        </w:rPr>
        <w:t xml:space="preserve"> AVM performance. As such</w:t>
      </w:r>
      <w:r w:rsidR="00690691" w:rsidRPr="00690691">
        <w:rPr>
          <w:rFonts w:asciiTheme="majorHAnsi" w:hAnsiTheme="majorHAnsi" w:cstheme="majorHAnsi"/>
        </w:rPr>
        <w:t xml:space="preserve">, </w:t>
      </w:r>
      <w:r w:rsidR="00E12AF9" w:rsidRPr="00690691">
        <w:rPr>
          <w:rFonts w:asciiTheme="majorHAnsi" w:hAnsiTheme="majorHAnsi" w:cstheme="majorHAnsi"/>
        </w:rPr>
        <w:t xml:space="preserve">a composite index, the </w:t>
      </w:r>
      <w:r w:rsidR="00E12AF9" w:rsidRPr="00690691">
        <w:rPr>
          <w:rFonts w:asciiTheme="majorHAnsi" w:hAnsiTheme="majorHAnsi" w:cstheme="majorHAnsi"/>
        </w:rPr>
        <w:lastRenderedPageBreak/>
        <w:t>AVM Error Scor</w:t>
      </w:r>
      <w:r w:rsidR="005C1007" w:rsidRPr="00690691">
        <w:rPr>
          <w:rFonts w:asciiTheme="majorHAnsi" w:hAnsiTheme="majorHAnsi" w:cstheme="majorHAnsi"/>
        </w:rPr>
        <w:t xml:space="preserve">e, called </w:t>
      </w:r>
      <w:r w:rsidR="00E12AF9" w:rsidRPr="00690691">
        <w:rPr>
          <w:rFonts w:asciiTheme="majorHAnsi" w:hAnsiTheme="majorHAnsi" w:cstheme="majorHAnsi"/>
        </w:rPr>
        <w:t xml:space="preserve">the AVM-ES, is constructed to </w:t>
      </w:r>
      <w:r w:rsidR="00B6148F">
        <w:rPr>
          <w:rFonts w:asciiTheme="majorHAnsi" w:hAnsiTheme="majorHAnsi" w:cstheme="majorHAnsi"/>
        </w:rPr>
        <w:t>compare</w:t>
      </w:r>
      <w:r w:rsidR="00C20B21">
        <w:rPr>
          <w:rFonts w:asciiTheme="majorHAnsi" w:hAnsiTheme="majorHAnsi" w:cstheme="majorHAnsi"/>
        </w:rPr>
        <w:t>,</w:t>
      </w:r>
      <w:r w:rsidR="00E12AF9" w:rsidRPr="00690691">
        <w:rPr>
          <w:rFonts w:asciiTheme="majorHAnsi" w:hAnsiTheme="majorHAnsi" w:cstheme="majorHAnsi"/>
        </w:rPr>
        <w:t xml:space="preserve"> rank and grad</w:t>
      </w:r>
      <w:r w:rsidR="00B6148F">
        <w:rPr>
          <w:rFonts w:asciiTheme="majorHAnsi" w:hAnsiTheme="majorHAnsi" w:cstheme="majorHAnsi"/>
        </w:rPr>
        <w:t xml:space="preserve">e </w:t>
      </w:r>
      <w:r w:rsidR="00E12AF9" w:rsidRPr="00690691">
        <w:rPr>
          <w:rFonts w:asciiTheme="majorHAnsi" w:hAnsiTheme="majorHAnsi" w:cstheme="majorHAnsi"/>
        </w:rPr>
        <w:t xml:space="preserve">AVMs. The AVM-ES is a data-driven, linear combination of any </w:t>
      </w:r>
      <w:r w:rsidR="00D32F77" w:rsidRPr="00690691">
        <w:rPr>
          <w:rFonts w:asciiTheme="majorHAnsi" w:hAnsiTheme="majorHAnsi" w:cstheme="majorHAnsi"/>
        </w:rPr>
        <w:t>collection</w:t>
      </w:r>
      <w:r w:rsidR="00E12AF9" w:rsidRPr="00690691">
        <w:rPr>
          <w:rFonts w:asciiTheme="majorHAnsi" w:hAnsiTheme="majorHAnsi" w:cstheme="majorHAnsi"/>
        </w:rPr>
        <w:t xml:space="preserve"> of AVM Performance Metrics, </w:t>
      </w:r>
      <w:r w:rsidR="00C20B21">
        <w:rPr>
          <w:rFonts w:asciiTheme="majorHAnsi" w:hAnsiTheme="majorHAnsi" w:cstheme="majorHAnsi"/>
        </w:rPr>
        <w:t>allowing</w:t>
      </w:r>
      <w:r w:rsidR="00E12AF9" w:rsidRPr="00690691">
        <w:rPr>
          <w:rFonts w:asciiTheme="majorHAnsi" w:hAnsiTheme="majorHAnsi" w:cstheme="majorHAnsi"/>
        </w:rPr>
        <w:t xml:space="preserve"> the user to choose the</w:t>
      </w:r>
      <w:r w:rsidR="004F6434" w:rsidRPr="00690691">
        <w:rPr>
          <w:rFonts w:asciiTheme="majorHAnsi" w:hAnsiTheme="majorHAnsi" w:cstheme="majorHAnsi"/>
        </w:rPr>
        <w:t xml:space="preserve"> set of </w:t>
      </w:r>
      <w:r w:rsidR="00FD48BC">
        <w:rPr>
          <w:rFonts w:asciiTheme="majorHAnsi" w:hAnsiTheme="majorHAnsi" w:cstheme="majorHAnsi"/>
        </w:rPr>
        <w:t>metrics</w:t>
      </w:r>
      <w:r w:rsidR="00E12AF9" w:rsidRPr="00690691">
        <w:rPr>
          <w:rFonts w:asciiTheme="majorHAnsi" w:hAnsiTheme="majorHAnsi" w:cstheme="majorHAnsi"/>
        </w:rPr>
        <w:t xml:space="preserve"> that make the most sense for their individual application.</w:t>
      </w:r>
      <w:r w:rsidR="00ED6543">
        <w:rPr>
          <w:rFonts w:asciiTheme="majorHAnsi" w:hAnsiTheme="majorHAnsi" w:cstheme="majorHAnsi"/>
        </w:rPr>
        <w:t xml:space="preserve"> </w:t>
      </w:r>
    </w:p>
    <w:p w14:paraId="5ECFE563" w14:textId="6AE8CB62" w:rsidR="00991CE6" w:rsidRPr="00991CE6" w:rsidRDefault="00A56986" w:rsidP="00690691">
      <w:pPr>
        <w:tabs>
          <w:tab w:val="num" w:pos="720"/>
        </w:tabs>
        <w:spacing w:before="240" w:line="360" w:lineRule="auto"/>
        <w:ind w:firstLine="0"/>
        <w:jc w:val="both"/>
        <w:rPr>
          <w:rFonts w:asciiTheme="majorHAnsi" w:hAnsiTheme="majorHAnsi" w:cstheme="majorHAnsi"/>
        </w:rPr>
      </w:pPr>
      <w:r>
        <w:rPr>
          <w:rFonts w:asciiTheme="majorHAnsi" w:hAnsiTheme="majorHAnsi" w:cstheme="majorHAnsi"/>
        </w:rPr>
        <w:t>The use of the AVM-ES is</w:t>
      </w:r>
      <w:r w:rsidR="00D84ABA">
        <w:rPr>
          <w:rFonts w:asciiTheme="majorHAnsi" w:hAnsiTheme="majorHAnsi" w:cstheme="majorHAnsi"/>
        </w:rPr>
        <w:t xml:space="preserve"> first</w:t>
      </w:r>
      <w:r>
        <w:rPr>
          <w:rFonts w:asciiTheme="majorHAnsi" w:hAnsiTheme="majorHAnsi" w:cstheme="majorHAnsi"/>
        </w:rPr>
        <w:t xml:space="preserve"> empirically </w:t>
      </w:r>
      <w:r w:rsidR="00ED6543">
        <w:rPr>
          <w:rFonts w:asciiTheme="majorHAnsi" w:hAnsiTheme="majorHAnsi" w:cstheme="majorHAnsi"/>
        </w:rPr>
        <w:t>demonstrated</w:t>
      </w:r>
      <w:r>
        <w:rPr>
          <w:rFonts w:asciiTheme="majorHAnsi" w:hAnsiTheme="majorHAnsi" w:cstheme="majorHAnsi"/>
        </w:rPr>
        <w:t xml:space="preserve"> in the </w:t>
      </w:r>
      <w:r w:rsidR="00A0724C">
        <w:rPr>
          <w:rFonts w:asciiTheme="majorHAnsi" w:hAnsiTheme="majorHAnsi" w:cstheme="majorHAnsi"/>
        </w:rPr>
        <w:t>E</w:t>
      </w:r>
      <w:r>
        <w:rPr>
          <w:rFonts w:asciiTheme="majorHAnsi" w:hAnsiTheme="majorHAnsi" w:cstheme="majorHAnsi"/>
        </w:rPr>
        <w:t xml:space="preserve">xpanded AVM-by-FSD analysis, which </w:t>
      </w:r>
      <w:r w:rsidR="005C1007" w:rsidRPr="00690691">
        <w:rPr>
          <w:rFonts w:asciiTheme="majorHAnsi" w:hAnsiTheme="majorHAnsi" w:cstheme="majorHAnsi"/>
        </w:rPr>
        <w:t xml:space="preserve">ranks </w:t>
      </w:r>
      <w:r w:rsidR="00E12AF9" w:rsidRPr="00690691">
        <w:rPr>
          <w:rFonts w:asciiTheme="majorHAnsi" w:hAnsiTheme="majorHAnsi" w:cstheme="majorHAnsi"/>
        </w:rPr>
        <w:t xml:space="preserve">367 different AVM/FSD combinations using </w:t>
      </w:r>
      <w:r w:rsidR="001E1AE7">
        <w:rPr>
          <w:rFonts w:cstheme="minorHAnsi"/>
        </w:rPr>
        <w:t xml:space="preserve">455,563 </w:t>
      </w:r>
      <w:r w:rsidR="00E12AF9" w:rsidRPr="00690691">
        <w:rPr>
          <w:rFonts w:asciiTheme="majorHAnsi" w:hAnsiTheme="majorHAnsi" w:cstheme="majorHAnsi"/>
        </w:rPr>
        <w:t>properties and eleven AVM Performance Met</w:t>
      </w:r>
      <w:r w:rsidR="0033352B" w:rsidRPr="00690691">
        <w:rPr>
          <w:rFonts w:asciiTheme="majorHAnsi" w:hAnsiTheme="majorHAnsi" w:cstheme="majorHAnsi"/>
        </w:rPr>
        <w:t>rics</w:t>
      </w:r>
      <w:r w:rsidR="00E12AF9" w:rsidRPr="00690691">
        <w:rPr>
          <w:rFonts w:asciiTheme="majorHAnsi" w:hAnsiTheme="majorHAnsi" w:cstheme="majorHAnsi"/>
        </w:rPr>
        <w:t xml:space="preserve">. </w:t>
      </w:r>
      <w:r w:rsidR="00946F48">
        <w:rPr>
          <w:rFonts w:asciiTheme="majorHAnsi" w:hAnsiTheme="majorHAnsi" w:cstheme="majorHAnsi"/>
        </w:rPr>
        <w:t xml:space="preserve">The </w:t>
      </w:r>
      <w:r w:rsidR="00A0724C">
        <w:rPr>
          <w:rFonts w:asciiTheme="majorHAnsi" w:hAnsiTheme="majorHAnsi" w:cstheme="majorHAnsi"/>
        </w:rPr>
        <w:t>E</w:t>
      </w:r>
      <w:r w:rsidR="00946F48">
        <w:rPr>
          <w:rFonts w:asciiTheme="majorHAnsi" w:hAnsiTheme="majorHAnsi" w:cstheme="majorHAnsi"/>
        </w:rPr>
        <w:t xml:space="preserve">xpanded AVM-by-FSD analysis </w:t>
      </w:r>
      <w:r w:rsidR="004603EB">
        <w:rPr>
          <w:rFonts w:asciiTheme="majorHAnsi" w:hAnsiTheme="majorHAnsi" w:cstheme="majorHAnsi"/>
        </w:rPr>
        <w:t xml:space="preserve">also </w:t>
      </w:r>
      <w:r w:rsidR="00946F48">
        <w:t xml:space="preserve">identifies the </w:t>
      </w:r>
      <w:r w:rsidR="00946F48">
        <w:rPr>
          <w:rFonts w:asciiTheme="majorHAnsi" w:hAnsiTheme="majorHAnsi" w:cstheme="majorHAnsi"/>
        </w:rPr>
        <w:t>vendor-reported</w:t>
      </w:r>
      <w:r w:rsidR="00946F48" w:rsidRPr="008560A3">
        <w:rPr>
          <w:rFonts w:asciiTheme="majorHAnsi" w:hAnsiTheme="majorHAnsi" w:cstheme="majorHAnsi"/>
        </w:rPr>
        <w:t xml:space="preserve"> </w:t>
      </w:r>
      <w:r w:rsidR="00946F48">
        <w:rPr>
          <w:rFonts w:asciiTheme="majorHAnsi" w:hAnsiTheme="majorHAnsi" w:cstheme="majorHAnsi"/>
        </w:rPr>
        <w:t xml:space="preserve">FSD value at which each AVM performs best and </w:t>
      </w:r>
      <w:r w:rsidR="00946F48" w:rsidRPr="008560A3">
        <w:rPr>
          <w:rFonts w:asciiTheme="majorHAnsi" w:hAnsiTheme="majorHAnsi" w:cstheme="majorHAnsi"/>
        </w:rPr>
        <w:t>illuminates which AVM performs best for all property sales with a given</w:t>
      </w:r>
      <w:r w:rsidR="00946F48">
        <w:rPr>
          <w:rFonts w:asciiTheme="majorHAnsi" w:hAnsiTheme="majorHAnsi" w:cstheme="majorHAnsi"/>
        </w:rPr>
        <w:t xml:space="preserve"> </w:t>
      </w:r>
      <w:r w:rsidR="00946F48" w:rsidRPr="008560A3">
        <w:rPr>
          <w:rFonts w:asciiTheme="majorHAnsi" w:hAnsiTheme="majorHAnsi" w:cstheme="majorHAnsi"/>
        </w:rPr>
        <w:t>FSD</w:t>
      </w:r>
      <w:r w:rsidR="00946F48">
        <w:rPr>
          <w:rFonts w:asciiTheme="majorHAnsi" w:hAnsiTheme="majorHAnsi" w:cstheme="majorHAnsi"/>
        </w:rPr>
        <w:t xml:space="preserve">.  </w:t>
      </w:r>
      <w:r>
        <w:rPr>
          <w:rFonts w:asciiTheme="majorHAnsi" w:hAnsiTheme="majorHAnsi" w:cstheme="majorHAnsi"/>
        </w:rPr>
        <w:t>A second empirical example</w:t>
      </w:r>
      <w:r w:rsidR="00991CE6">
        <w:rPr>
          <w:rFonts w:asciiTheme="majorHAnsi" w:hAnsiTheme="majorHAnsi" w:cstheme="majorHAnsi"/>
        </w:rPr>
        <w:t>,</w:t>
      </w:r>
      <w:r>
        <w:rPr>
          <w:rFonts w:asciiTheme="majorHAnsi" w:hAnsiTheme="majorHAnsi" w:cstheme="majorHAnsi"/>
        </w:rPr>
        <w:t xml:space="preserve"> </w:t>
      </w:r>
      <w:r w:rsidR="00ED6543">
        <w:rPr>
          <w:rFonts w:asciiTheme="majorHAnsi" w:hAnsiTheme="majorHAnsi" w:cstheme="majorHAnsi"/>
        </w:rPr>
        <w:t xml:space="preserve">illustrating the AVM-ES, </w:t>
      </w:r>
      <w:r w:rsidR="00816119">
        <w:rPr>
          <w:rFonts w:asciiTheme="majorHAnsi" w:hAnsiTheme="majorHAnsi" w:cstheme="majorHAnsi"/>
        </w:rPr>
        <w:t>directly compares and ranks</w:t>
      </w:r>
      <w:r w:rsidRPr="00690691">
        <w:rPr>
          <w:rFonts w:asciiTheme="majorHAnsi" w:hAnsiTheme="majorHAnsi" w:cstheme="majorHAnsi"/>
        </w:rPr>
        <w:t xml:space="preserve"> twelve AVMs </w:t>
      </w:r>
      <w:r>
        <w:rPr>
          <w:rFonts w:asciiTheme="majorHAnsi" w:hAnsiTheme="majorHAnsi" w:cstheme="majorHAnsi"/>
        </w:rPr>
        <w:t xml:space="preserve">by </w:t>
      </w:r>
      <w:r w:rsidRPr="00690691">
        <w:rPr>
          <w:rFonts w:asciiTheme="majorHAnsi" w:hAnsiTheme="majorHAnsi" w:cstheme="majorHAnsi"/>
        </w:rPr>
        <w:t xml:space="preserve">valuing 1,193 sales in Clark County, Nevada using ten </w:t>
      </w:r>
      <w:r w:rsidR="00FD48BC">
        <w:rPr>
          <w:rFonts w:asciiTheme="majorHAnsi" w:hAnsiTheme="majorHAnsi" w:cstheme="majorHAnsi"/>
        </w:rPr>
        <w:t>metrics</w:t>
      </w:r>
      <w:r w:rsidRPr="00690691">
        <w:rPr>
          <w:rFonts w:asciiTheme="majorHAnsi" w:hAnsiTheme="majorHAnsi" w:cstheme="majorHAnsi"/>
        </w:rPr>
        <w:t>.</w:t>
      </w:r>
      <w:r w:rsidR="004763D3">
        <w:rPr>
          <w:rFonts w:asciiTheme="majorHAnsi" w:hAnsiTheme="majorHAnsi" w:cstheme="majorHAnsi"/>
        </w:rPr>
        <w:t xml:space="preserve"> </w:t>
      </w:r>
      <w:r w:rsidR="00991CE6">
        <w:rPr>
          <w:rFonts w:asciiTheme="majorHAnsi" w:hAnsiTheme="majorHAnsi" w:cstheme="majorHAnsi"/>
        </w:rPr>
        <w:t>These two analyses demonstrate how the AVM-ES can combine any desired set of AVM Performance Metrics into a single composite index to rank the performance of competing AVMs, when applied to housing sales at any chosen geography</w:t>
      </w:r>
      <w:r w:rsidR="00AA6428">
        <w:rPr>
          <w:rFonts w:asciiTheme="majorHAnsi" w:hAnsiTheme="majorHAnsi" w:cstheme="majorHAnsi"/>
        </w:rPr>
        <w:t xml:space="preserve"> and/or </w:t>
      </w:r>
      <w:r w:rsidR="00991CE6">
        <w:rPr>
          <w:rFonts w:asciiTheme="majorHAnsi" w:hAnsiTheme="majorHAnsi" w:cstheme="majorHAnsi"/>
        </w:rPr>
        <w:t xml:space="preserve">property type. </w:t>
      </w:r>
      <w:r w:rsidR="00E12AF9" w:rsidRPr="00690691">
        <w:rPr>
          <w:rFonts w:asciiTheme="majorHAnsi" w:hAnsiTheme="majorHAnsi" w:cstheme="majorHAnsi"/>
        </w:rPr>
        <w:t xml:space="preserve">Such ranking allows clients employing AVMs </w:t>
      </w:r>
      <w:r w:rsidR="00D32F77" w:rsidRPr="00690691">
        <w:rPr>
          <w:rFonts w:asciiTheme="majorHAnsi" w:hAnsiTheme="majorHAnsi" w:cstheme="majorHAnsi"/>
        </w:rPr>
        <w:t>(</w:t>
      </w:r>
      <w:r w:rsidR="008271A2">
        <w:rPr>
          <w:rFonts w:asciiTheme="majorHAnsi" w:hAnsiTheme="majorHAnsi" w:cstheme="majorHAnsi"/>
        </w:rPr>
        <w:t>e.g.</w:t>
      </w:r>
      <w:r w:rsidR="00D32F77" w:rsidRPr="00690691">
        <w:rPr>
          <w:rFonts w:asciiTheme="majorHAnsi" w:hAnsiTheme="majorHAnsi" w:cstheme="majorHAnsi"/>
        </w:rPr>
        <w:t xml:space="preserve">, lenders, real-estate brokers, investment bankers and consumers) </w:t>
      </w:r>
      <w:r w:rsidR="00E12AF9" w:rsidRPr="00690691">
        <w:rPr>
          <w:rFonts w:asciiTheme="majorHAnsi" w:hAnsiTheme="majorHAnsi" w:cstheme="majorHAnsi"/>
        </w:rPr>
        <w:t xml:space="preserve">to better support appraisal quality control, mortgage underwriting, including </w:t>
      </w:r>
      <w:r w:rsidR="00E12AF9" w:rsidRPr="00690691">
        <w:t>home equity loans and refinancing decisions, together with loss mitigation and credit risk management activities for financial institutions</w:t>
      </w:r>
      <w:r w:rsidR="00C20B21">
        <w:t>.</w:t>
      </w:r>
      <w:r w:rsidR="00E12AF9" w:rsidRPr="00690691">
        <w:rPr>
          <w:rFonts w:ascii="Times New Roman" w:hAnsi="Times New Roman" w:cs="Times New Roman"/>
        </w:rPr>
        <w:t xml:space="preserve"> </w:t>
      </w:r>
    </w:p>
    <w:bookmarkEnd w:id="12"/>
    <w:p w14:paraId="23769B46" w14:textId="6A1DB6B5" w:rsidR="0033352B" w:rsidRDefault="00FB0662" w:rsidP="00090DF9">
      <w:pPr>
        <w:spacing w:before="240" w:line="360" w:lineRule="auto"/>
        <w:ind w:firstLine="0"/>
        <w:jc w:val="both"/>
        <w:rPr>
          <w:rFonts w:asciiTheme="majorHAnsi" w:eastAsiaTheme="majorEastAsia" w:hAnsiTheme="majorHAnsi" w:cstheme="majorHAnsi"/>
          <w:b/>
          <w:bCs/>
          <w:sz w:val="28"/>
          <w:szCs w:val="28"/>
        </w:rPr>
      </w:pPr>
      <w:r w:rsidRPr="00690691">
        <w:rPr>
          <w:rFonts w:asciiTheme="majorHAnsi" w:hAnsiTheme="majorHAnsi" w:cstheme="majorHAnsi"/>
        </w:rPr>
        <w:t>Lastly</w:t>
      </w:r>
      <w:r w:rsidR="00D94558" w:rsidRPr="00690691">
        <w:rPr>
          <w:rFonts w:asciiTheme="majorHAnsi" w:hAnsiTheme="majorHAnsi" w:cstheme="majorHAnsi"/>
        </w:rPr>
        <w:t xml:space="preserve">, </w:t>
      </w:r>
      <w:r w:rsidR="00044EB3" w:rsidRPr="00690691">
        <w:rPr>
          <w:rFonts w:asciiTheme="majorHAnsi" w:hAnsiTheme="majorHAnsi" w:cstheme="majorHAnsi"/>
        </w:rPr>
        <w:t xml:space="preserve">given a set of </w:t>
      </w:r>
      <w:r w:rsidR="009270F5">
        <w:rPr>
          <w:rFonts w:asciiTheme="majorHAnsi" w:hAnsiTheme="majorHAnsi" w:cstheme="majorHAnsi"/>
        </w:rPr>
        <w:t xml:space="preserve">performance </w:t>
      </w:r>
      <w:r w:rsidR="00C4649A">
        <w:rPr>
          <w:rFonts w:asciiTheme="majorHAnsi" w:hAnsiTheme="majorHAnsi" w:cstheme="majorHAnsi"/>
        </w:rPr>
        <w:t xml:space="preserve">thresholds for </w:t>
      </w:r>
      <w:r w:rsidR="00044EB3" w:rsidRPr="00690691">
        <w:rPr>
          <w:rFonts w:asciiTheme="majorHAnsi" w:hAnsiTheme="majorHAnsi" w:cstheme="majorHAnsi"/>
        </w:rPr>
        <w:t xml:space="preserve">AVM </w:t>
      </w:r>
      <w:r w:rsidR="00C4649A">
        <w:rPr>
          <w:rFonts w:asciiTheme="majorHAnsi" w:hAnsiTheme="majorHAnsi" w:cstheme="majorHAnsi"/>
        </w:rPr>
        <w:t>P</w:t>
      </w:r>
      <w:r w:rsidR="00044EB3" w:rsidRPr="00690691">
        <w:rPr>
          <w:rFonts w:asciiTheme="majorHAnsi" w:hAnsiTheme="majorHAnsi" w:cstheme="majorHAnsi"/>
        </w:rPr>
        <w:t xml:space="preserve">erformance </w:t>
      </w:r>
      <w:r w:rsidR="00C4649A">
        <w:rPr>
          <w:rFonts w:asciiTheme="majorHAnsi" w:hAnsiTheme="majorHAnsi" w:cstheme="majorHAnsi"/>
        </w:rPr>
        <w:t>Metrics</w:t>
      </w:r>
      <w:r w:rsidR="00044EB3" w:rsidRPr="00690691">
        <w:rPr>
          <w:rFonts w:asciiTheme="majorHAnsi" w:hAnsiTheme="majorHAnsi" w:cstheme="majorHAnsi"/>
        </w:rPr>
        <w:t xml:space="preserve">, a </w:t>
      </w:r>
      <w:r w:rsidR="0052768A">
        <w:rPr>
          <w:rFonts w:asciiTheme="majorHAnsi" w:hAnsiTheme="majorHAnsi" w:cstheme="majorHAnsi"/>
        </w:rPr>
        <w:t xml:space="preserve">collective </w:t>
      </w:r>
      <w:r w:rsidR="00A51743" w:rsidRPr="00690691">
        <w:rPr>
          <w:rFonts w:asciiTheme="majorHAnsi" w:hAnsiTheme="majorHAnsi" w:cstheme="majorHAnsi"/>
        </w:rPr>
        <w:t>ordinal</w:t>
      </w:r>
      <w:r w:rsidR="00D94558" w:rsidRPr="00690691">
        <w:rPr>
          <w:rFonts w:asciiTheme="majorHAnsi" w:hAnsiTheme="majorHAnsi" w:cstheme="majorHAnsi"/>
        </w:rPr>
        <w:t xml:space="preserve"> AVM classification or grad</w:t>
      </w:r>
      <w:r w:rsidR="00AA6428">
        <w:rPr>
          <w:rFonts w:asciiTheme="majorHAnsi" w:hAnsiTheme="majorHAnsi" w:cstheme="majorHAnsi"/>
        </w:rPr>
        <w:t>e</w:t>
      </w:r>
      <w:r w:rsidR="00E41DE6" w:rsidRPr="00690691">
        <w:rPr>
          <w:rFonts w:asciiTheme="majorHAnsi" w:hAnsiTheme="majorHAnsi" w:cstheme="majorHAnsi"/>
        </w:rPr>
        <w:t>,</w:t>
      </w:r>
      <w:r w:rsidR="00A51743" w:rsidRPr="00690691">
        <w:rPr>
          <w:rFonts w:asciiTheme="majorHAnsi" w:hAnsiTheme="majorHAnsi" w:cstheme="majorHAnsi"/>
        </w:rPr>
        <w:t xml:space="preserve"> </w:t>
      </w:r>
      <w:r w:rsidR="00921330">
        <w:rPr>
          <w:rFonts w:asciiTheme="majorHAnsi" w:hAnsiTheme="majorHAnsi" w:cstheme="majorHAnsi"/>
        </w:rPr>
        <w:t xml:space="preserve">by, for example, </w:t>
      </w:r>
      <w:r w:rsidR="00E41DE6" w:rsidRPr="00690691">
        <w:rPr>
          <w:rFonts w:asciiTheme="majorHAnsi" w:hAnsiTheme="majorHAnsi" w:cstheme="majorHAnsi"/>
        </w:rPr>
        <w:t>applying labels:</w:t>
      </w:r>
      <w:r w:rsidR="0046739E" w:rsidRPr="00690691">
        <w:rPr>
          <w:rFonts w:asciiTheme="majorHAnsi" w:hAnsiTheme="majorHAnsi" w:cstheme="majorHAnsi"/>
        </w:rPr>
        <w:t xml:space="preserve"> </w:t>
      </w:r>
      <w:r w:rsidR="00E41DE6" w:rsidRPr="00690691">
        <w:rPr>
          <w:rFonts w:asciiTheme="majorHAnsi" w:hAnsiTheme="majorHAnsi" w:cstheme="majorHAnsi"/>
        </w:rPr>
        <w:t>‘</w:t>
      </w:r>
      <w:r w:rsidR="00D94558" w:rsidRPr="00690691">
        <w:rPr>
          <w:rFonts w:asciiTheme="majorHAnsi" w:hAnsiTheme="majorHAnsi" w:cstheme="majorHAnsi"/>
        </w:rPr>
        <w:t>Strong</w:t>
      </w:r>
      <w:r w:rsidR="00E41DE6" w:rsidRPr="00690691">
        <w:rPr>
          <w:rFonts w:asciiTheme="majorHAnsi" w:hAnsiTheme="majorHAnsi" w:cstheme="majorHAnsi"/>
        </w:rPr>
        <w:t>’, ‘</w:t>
      </w:r>
      <w:r w:rsidR="00FA114F" w:rsidRPr="00690691">
        <w:rPr>
          <w:rFonts w:asciiTheme="majorHAnsi" w:hAnsiTheme="majorHAnsi" w:cstheme="majorHAnsi"/>
        </w:rPr>
        <w:t>Reasonabl</w:t>
      </w:r>
      <w:r w:rsidR="00E41DE6" w:rsidRPr="00690691">
        <w:rPr>
          <w:rFonts w:asciiTheme="majorHAnsi" w:hAnsiTheme="majorHAnsi" w:cstheme="majorHAnsi"/>
        </w:rPr>
        <w:t>e’, ‘</w:t>
      </w:r>
      <w:r w:rsidR="00D94558" w:rsidRPr="00690691">
        <w:rPr>
          <w:rFonts w:asciiTheme="majorHAnsi" w:hAnsiTheme="majorHAnsi" w:cstheme="majorHAnsi"/>
        </w:rPr>
        <w:t>Acceptable but Weak</w:t>
      </w:r>
      <w:r w:rsidR="00E41DE6" w:rsidRPr="00690691">
        <w:rPr>
          <w:rFonts w:asciiTheme="majorHAnsi" w:hAnsiTheme="majorHAnsi" w:cstheme="majorHAnsi"/>
        </w:rPr>
        <w:t xml:space="preserve">’ </w:t>
      </w:r>
      <w:r w:rsidR="00D94558" w:rsidRPr="00690691">
        <w:rPr>
          <w:rFonts w:asciiTheme="majorHAnsi" w:hAnsiTheme="majorHAnsi" w:cstheme="majorHAnsi"/>
        </w:rPr>
        <w:t xml:space="preserve">or </w:t>
      </w:r>
      <w:r w:rsidR="00E41DE6" w:rsidRPr="00690691">
        <w:rPr>
          <w:rFonts w:asciiTheme="majorHAnsi" w:hAnsiTheme="majorHAnsi" w:cstheme="majorHAnsi"/>
        </w:rPr>
        <w:t>‘</w:t>
      </w:r>
      <w:r w:rsidR="00D94558" w:rsidRPr="00690691">
        <w:rPr>
          <w:rFonts w:asciiTheme="majorHAnsi" w:hAnsiTheme="majorHAnsi" w:cstheme="majorHAnsi"/>
        </w:rPr>
        <w:t>Poorly</w:t>
      </w:r>
      <w:r w:rsidR="00E41DE6" w:rsidRPr="00690691">
        <w:rPr>
          <w:rFonts w:asciiTheme="majorHAnsi" w:hAnsiTheme="majorHAnsi" w:cstheme="majorHAnsi"/>
        </w:rPr>
        <w:t>’</w:t>
      </w:r>
      <w:r w:rsidR="00D94558" w:rsidRPr="00690691">
        <w:rPr>
          <w:rFonts w:asciiTheme="majorHAnsi" w:hAnsiTheme="majorHAnsi" w:cstheme="majorHAnsi"/>
        </w:rPr>
        <w:t xml:space="preserve"> </w:t>
      </w:r>
      <w:r w:rsidR="00E41DE6" w:rsidRPr="00690691">
        <w:rPr>
          <w:rFonts w:asciiTheme="majorHAnsi" w:hAnsiTheme="majorHAnsi" w:cstheme="majorHAnsi"/>
        </w:rPr>
        <w:t>p</w:t>
      </w:r>
      <w:r w:rsidR="00D94558" w:rsidRPr="00690691">
        <w:rPr>
          <w:rFonts w:asciiTheme="majorHAnsi" w:hAnsiTheme="majorHAnsi" w:cstheme="majorHAnsi"/>
        </w:rPr>
        <w:t xml:space="preserve">erforming </w:t>
      </w:r>
      <w:r w:rsidR="00E41DE6" w:rsidRPr="00690691">
        <w:rPr>
          <w:rFonts w:asciiTheme="majorHAnsi" w:hAnsiTheme="majorHAnsi" w:cstheme="majorHAnsi"/>
        </w:rPr>
        <w:t xml:space="preserve">to </w:t>
      </w:r>
      <w:r w:rsidR="00A51743" w:rsidRPr="00690691">
        <w:rPr>
          <w:rFonts w:asciiTheme="majorHAnsi" w:hAnsiTheme="majorHAnsi" w:cstheme="majorHAnsi"/>
        </w:rPr>
        <w:t>each AVM/FSD combination</w:t>
      </w:r>
      <w:r w:rsidR="00AA6428">
        <w:rPr>
          <w:rFonts w:asciiTheme="majorHAnsi" w:hAnsiTheme="majorHAnsi" w:cstheme="majorHAnsi"/>
        </w:rPr>
        <w:t>,</w:t>
      </w:r>
      <w:r w:rsidR="00044EB3" w:rsidRPr="00690691">
        <w:rPr>
          <w:rFonts w:asciiTheme="majorHAnsi" w:hAnsiTheme="majorHAnsi" w:cstheme="majorHAnsi"/>
        </w:rPr>
        <w:t xml:space="preserve"> </w:t>
      </w:r>
      <w:r w:rsidR="00E41DE6" w:rsidRPr="00690691">
        <w:rPr>
          <w:rFonts w:asciiTheme="majorHAnsi" w:hAnsiTheme="majorHAnsi" w:cstheme="majorHAnsi"/>
        </w:rPr>
        <w:t xml:space="preserve">is demonstrated </w:t>
      </w:r>
      <w:r w:rsidR="00044EB3" w:rsidRPr="00690691">
        <w:rPr>
          <w:rFonts w:asciiTheme="majorHAnsi" w:hAnsiTheme="majorHAnsi" w:cstheme="majorHAnsi"/>
        </w:rPr>
        <w:t xml:space="preserve">using the </w:t>
      </w:r>
      <w:r w:rsidR="00AF755B" w:rsidRPr="00690691">
        <w:rPr>
          <w:rFonts w:asciiTheme="majorHAnsi" w:hAnsiTheme="majorHAnsi" w:cstheme="majorHAnsi"/>
        </w:rPr>
        <w:t>AVM-ES</w:t>
      </w:r>
      <w:r w:rsidR="00A97DBE" w:rsidRPr="00690691">
        <w:rPr>
          <w:rFonts w:asciiTheme="majorHAnsi" w:hAnsiTheme="majorHAnsi" w:cstheme="majorHAnsi"/>
        </w:rPr>
        <w:t xml:space="preserve"> </w:t>
      </w:r>
      <w:r w:rsidR="00033429" w:rsidRPr="00690691">
        <w:rPr>
          <w:rFonts w:asciiTheme="majorHAnsi" w:hAnsiTheme="majorHAnsi" w:cstheme="majorHAnsi"/>
        </w:rPr>
        <w:t>in</w:t>
      </w:r>
      <w:r w:rsidR="00A97DBE" w:rsidRPr="00690691">
        <w:rPr>
          <w:rFonts w:asciiTheme="majorHAnsi" w:hAnsiTheme="majorHAnsi" w:cstheme="majorHAnsi"/>
        </w:rPr>
        <w:t xml:space="preserve"> the </w:t>
      </w:r>
      <w:r w:rsidR="00CB4665">
        <w:rPr>
          <w:rFonts w:asciiTheme="majorHAnsi" w:hAnsiTheme="majorHAnsi" w:cstheme="majorHAnsi"/>
        </w:rPr>
        <w:t>e</w:t>
      </w:r>
      <w:r w:rsidR="00690691" w:rsidRPr="00690691">
        <w:rPr>
          <w:rFonts w:asciiTheme="majorHAnsi" w:hAnsiTheme="majorHAnsi" w:cstheme="majorHAnsi"/>
        </w:rPr>
        <w:t>x</w:t>
      </w:r>
      <w:r w:rsidR="002C43CE">
        <w:rPr>
          <w:rFonts w:asciiTheme="majorHAnsi" w:hAnsiTheme="majorHAnsi" w:cstheme="majorHAnsi"/>
        </w:rPr>
        <w:t>panded</w:t>
      </w:r>
      <w:r w:rsidR="00690691" w:rsidRPr="00690691">
        <w:rPr>
          <w:rFonts w:asciiTheme="majorHAnsi" w:hAnsiTheme="majorHAnsi" w:cstheme="majorHAnsi"/>
        </w:rPr>
        <w:t xml:space="preserve"> </w:t>
      </w:r>
      <w:r w:rsidR="004F6434" w:rsidRPr="00690691">
        <w:rPr>
          <w:rFonts w:asciiTheme="majorHAnsi" w:hAnsiTheme="majorHAnsi" w:cstheme="majorHAnsi"/>
        </w:rPr>
        <w:t>AVM-by-FSD</w:t>
      </w:r>
      <w:r w:rsidR="00A97DBE" w:rsidRPr="00690691">
        <w:rPr>
          <w:rFonts w:asciiTheme="majorHAnsi" w:hAnsiTheme="majorHAnsi" w:cstheme="majorHAnsi"/>
        </w:rPr>
        <w:t xml:space="preserve"> </w:t>
      </w:r>
      <w:r w:rsidR="00921330">
        <w:rPr>
          <w:rFonts w:asciiTheme="majorHAnsi" w:hAnsiTheme="majorHAnsi" w:cstheme="majorHAnsi"/>
        </w:rPr>
        <w:t>analysis</w:t>
      </w:r>
      <w:r w:rsidR="00044EB3" w:rsidRPr="00690691">
        <w:rPr>
          <w:rFonts w:asciiTheme="majorHAnsi" w:hAnsiTheme="majorHAnsi" w:cstheme="majorHAnsi"/>
        </w:rPr>
        <w:t>.</w:t>
      </w:r>
      <w:r w:rsidR="00E349F9" w:rsidRPr="00690691">
        <w:rPr>
          <w:rFonts w:asciiTheme="majorHAnsi" w:hAnsiTheme="majorHAnsi" w:cstheme="majorHAnsi"/>
        </w:rPr>
        <w:t xml:space="preserve"> </w:t>
      </w:r>
      <w:r w:rsidR="00C4649A">
        <w:rPr>
          <w:rFonts w:asciiTheme="majorHAnsi" w:hAnsiTheme="majorHAnsi" w:cstheme="majorHAnsi"/>
        </w:rPr>
        <w:t xml:space="preserve"> </w:t>
      </w:r>
      <w:r w:rsidR="00044EB3" w:rsidRPr="00690691">
        <w:rPr>
          <w:rFonts w:asciiTheme="majorHAnsi" w:hAnsiTheme="majorHAnsi" w:cstheme="majorHAnsi"/>
        </w:rPr>
        <w:t xml:space="preserve">Such assessment allows </w:t>
      </w:r>
      <w:r w:rsidR="00FA114F" w:rsidRPr="00690691">
        <w:rPr>
          <w:rFonts w:asciiTheme="majorHAnsi" w:hAnsiTheme="majorHAnsi" w:cstheme="majorHAnsi"/>
        </w:rPr>
        <w:t xml:space="preserve">the </w:t>
      </w:r>
      <w:r w:rsidR="00A17D9C" w:rsidRPr="00690691">
        <w:rPr>
          <w:rFonts w:asciiTheme="majorHAnsi" w:hAnsiTheme="majorHAnsi" w:cstheme="majorHAnsi"/>
        </w:rPr>
        <w:t>user</w:t>
      </w:r>
      <w:r w:rsidR="00044EB3" w:rsidRPr="00690691">
        <w:rPr>
          <w:rFonts w:asciiTheme="majorHAnsi" w:hAnsiTheme="majorHAnsi" w:cstheme="majorHAnsi"/>
        </w:rPr>
        <w:t xml:space="preserve"> to </w:t>
      </w:r>
      <w:r w:rsidR="00B31ADC" w:rsidRPr="00690691">
        <w:rPr>
          <w:rFonts w:asciiTheme="majorHAnsi" w:hAnsiTheme="majorHAnsi" w:cstheme="majorHAnsi"/>
        </w:rPr>
        <w:t xml:space="preserve">qualify or </w:t>
      </w:r>
      <w:r w:rsidR="00033429" w:rsidRPr="00690691">
        <w:rPr>
          <w:rFonts w:asciiTheme="majorHAnsi" w:hAnsiTheme="majorHAnsi" w:cstheme="majorHAnsi"/>
        </w:rPr>
        <w:t>grade</w:t>
      </w:r>
      <w:r w:rsidR="0046739E" w:rsidRPr="00690691">
        <w:rPr>
          <w:rFonts w:asciiTheme="majorHAnsi" w:hAnsiTheme="majorHAnsi" w:cstheme="majorHAnsi"/>
        </w:rPr>
        <w:t xml:space="preserve"> </w:t>
      </w:r>
      <w:r w:rsidR="00044EB3" w:rsidRPr="00690691">
        <w:rPr>
          <w:rFonts w:asciiTheme="majorHAnsi" w:hAnsiTheme="majorHAnsi" w:cstheme="majorHAnsi"/>
        </w:rPr>
        <w:t xml:space="preserve">the </w:t>
      </w:r>
      <w:r w:rsidR="00CF72F6" w:rsidRPr="00690691">
        <w:rPr>
          <w:rFonts w:asciiTheme="majorHAnsi" w:hAnsiTheme="majorHAnsi" w:cstheme="majorHAnsi"/>
        </w:rPr>
        <w:t xml:space="preserve">overall </w:t>
      </w:r>
      <w:r w:rsidR="00FA114F" w:rsidRPr="00690691">
        <w:rPr>
          <w:rFonts w:asciiTheme="majorHAnsi" w:hAnsiTheme="majorHAnsi" w:cstheme="majorHAnsi"/>
        </w:rPr>
        <w:t>performance</w:t>
      </w:r>
      <w:r w:rsidR="00044EB3" w:rsidRPr="00690691">
        <w:rPr>
          <w:rFonts w:asciiTheme="majorHAnsi" w:hAnsiTheme="majorHAnsi" w:cstheme="majorHAnsi"/>
        </w:rPr>
        <w:t xml:space="preserve"> of </w:t>
      </w:r>
      <w:r w:rsidR="00C90DDD" w:rsidRPr="00690691">
        <w:rPr>
          <w:rFonts w:asciiTheme="majorHAnsi" w:hAnsiTheme="majorHAnsi" w:cstheme="majorHAnsi"/>
        </w:rPr>
        <w:t>the</w:t>
      </w:r>
      <w:r w:rsidR="00A51743" w:rsidRPr="00690691">
        <w:rPr>
          <w:rFonts w:asciiTheme="majorHAnsi" w:hAnsiTheme="majorHAnsi" w:cstheme="majorHAnsi"/>
        </w:rPr>
        <w:t xml:space="preserve"> </w:t>
      </w:r>
      <w:r w:rsidR="00044EB3" w:rsidRPr="00690691">
        <w:rPr>
          <w:rFonts w:asciiTheme="majorHAnsi" w:hAnsiTheme="majorHAnsi" w:cstheme="majorHAnsi"/>
        </w:rPr>
        <w:t>AVM</w:t>
      </w:r>
      <w:r w:rsidR="00200AA6">
        <w:rPr>
          <w:rFonts w:asciiTheme="majorHAnsi" w:hAnsiTheme="majorHAnsi" w:cstheme="majorHAnsi"/>
        </w:rPr>
        <w:t xml:space="preserve">, given a set of </w:t>
      </w:r>
      <w:r w:rsidR="009270F5">
        <w:rPr>
          <w:rFonts w:asciiTheme="majorHAnsi" w:hAnsiTheme="majorHAnsi" w:cstheme="majorHAnsi"/>
        </w:rPr>
        <w:t xml:space="preserve">performance </w:t>
      </w:r>
      <w:r w:rsidR="00C4649A">
        <w:rPr>
          <w:rFonts w:asciiTheme="majorHAnsi" w:hAnsiTheme="majorHAnsi" w:cstheme="majorHAnsi"/>
        </w:rPr>
        <w:t>thresholds</w:t>
      </w:r>
      <w:r w:rsidR="00FA114F" w:rsidRPr="00690691">
        <w:rPr>
          <w:rFonts w:asciiTheme="majorHAnsi" w:hAnsiTheme="majorHAnsi" w:cstheme="majorHAnsi"/>
        </w:rPr>
        <w:t>,</w:t>
      </w:r>
      <w:r w:rsidR="00044EB3" w:rsidRPr="00690691">
        <w:rPr>
          <w:rFonts w:asciiTheme="majorHAnsi" w:hAnsiTheme="majorHAnsi" w:cstheme="majorHAnsi"/>
        </w:rPr>
        <w:t xml:space="preserve"> to better manage </w:t>
      </w:r>
      <w:r w:rsidR="00FA114F" w:rsidRPr="00690691">
        <w:t>each client’s specific risk tolerances</w:t>
      </w:r>
      <w:r w:rsidR="00B763E3" w:rsidRPr="00690691">
        <w:t xml:space="preserve"> and be in concordance with the policies and procedures </w:t>
      </w:r>
      <w:r w:rsidR="00BA7111" w:rsidRPr="00690691">
        <w:t>recommended</w:t>
      </w:r>
      <w:r w:rsidR="00B763E3" w:rsidRPr="00690691">
        <w:t xml:space="preserve"> by the </w:t>
      </w:r>
      <w:r w:rsidR="00B763E3" w:rsidRPr="00690691">
        <w:rPr>
          <w:rFonts w:ascii="Times New Roman" w:hAnsi="Times New Roman" w:cs="Times New Roman"/>
        </w:rPr>
        <w:t>Interagency Appraisal and Evaluation Guidelines (2010)</w:t>
      </w:r>
      <w:r w:rsidR="00FA114F" w:rsidRPr="00690691">
        <w:t>.</w:t>
      </w:r>
    </w:p>
    <w:p w14:paraId="4A8275B0" w14:textId="77777777" w:rsidR="00F47B00" w:rsidRDefault="00F47B00">
      <w:pPr>
        <w:rPr>
          <w:rFonts w:asciiTheme="majorHAnsi" w:hAnsiTheme="majorHAnsi" w:cstheme="majorHAnsi"/>
          <w:b/>
          <w:sz w:val="28"/>
          <w:szCs w:val="28"/>
        </w:rPr>
      </w:pPr>
      <w:r>
        <w:rPr>
          <w:rFonts w:asciiTheme="majorHAnsi" w:hAnsiTheme="majorHAnsi" w:cstheme="majorHAnsi"/>
          <w:b/>
          <w:sz w:val="28"/>
          <w:szCs w:val="28"/>
        </w:rPr>
        <w:br w:type="page"/>
      </w:r>
    </w:p>
    <w:p w14:paraId="094F8BB1" w14:textId="7E98E47C" w:rsidR="00F63638" w:rsidRPr="00904A60" w:rsidRDefault="0072443C" w:rsidP="00904A60">
      <w:pPr>
        <w:tabs>
          <w:tab w:val="num" w:pos="720"/>
        </w:tabs>
        <w:spacing w:before="240" w:line="360" w:lineRule="auto"/>
        <w:ind w:firstLine="0"/>
        <w:jc w:val="both"/>
        <w:rPr>
          <w:rFonts w:asciiTheme="majorHAnsi" w:hAnsiTheme="majorHAnsi" w:cstheme="majorHAnsi"/>
        </w:rPr>
      </w:pPr>
      <w:r>
        <w:rPr>
          <w:rFonts w:asciiTheme="majorHAnsi" w:hAnsiTheme="majorHAnsi" w:cstheme="majorHAnsi"/>
          <w:b/>
          <w:sz w:val="28"/>
          <w:szCs w:val="28"/>
        </w:rPr>
        <w:lastRenderedPageBreak/>
        <w:t>7</w:t>
      </w:r>
      <w:r w:rsidR="00200AA6">
        <w:rPr>
          <w:rFonts w:asciiTheme="majorHAnsi" w:hAnsiTheme="majorHAnsi" w:cstheme="majorHAnsi"/>
          <w:b/>
          <w:sz w:val="28"/>
          <w:szCs w:val="28"/>
        </w:rPr>
        <w:t>.  R</w:t>
      </w:r>
      <w:r w:rsidR="00EA1540" w:rsidRPr="00A278E3">
        <w:rPr>
          <w:rFonts w:asciiTheme="majorHAnsi" w:hAnsiTheme="majorHAnsi" w:cstheme="majorHAnsi"/>
          <w:b/>
          <w:sz w:val="28"/>
          <w:szCs w:val="28"/>
        </w:rPr>
        <w:t>eferences</w:t>
      </w:r>
    </w:p>
    <w:sdt>
      <w:sdtPr>
        <w:rPr>
          <w:rFonts w:cstheme="minorHAnsi"/>
          <w:sz w:val="22"/>
          <w:szCs w:val="20"/>
        </w:rPr>
        <w:id w:val="-573587230"/>
        <w:bibliography/>
      </w:sdtPr>
      <w:sdtEndPr/>
      <w:sdtContent>
        <w:p w14:paraId="27910A7E" w14:textId="356E353E" w:rsidR="00E36E3C" w:rsidRPr="003067F0" w:rsidRDefault="00E36E3C" w:rsidP="002D6A14">
          <w:pPr>
            <w:spacing w:line="240" w:lineRule="auto"/>
            <w:ind w:firstLine="0"/>
            <w:rPr>
              <w:rFonts w:cstheme="minorHAnsi"/>
            </w:rPr>
          </w:pPr>
          <w:r w:rsidRPr="003067F0">
            <w:rPr>
              <w:rFonts w:cstheme="minorHAnsi"/>
            </w:rPr>
            <w:t xml:space="preserve">Allen, S. (2009).  Innovation in AVM </w:t>
          </w:r>
          <w:r w:rsidR="0046034C" w:rsidRPr="003067F0">
            <w:rPr>
              <w:rFonts w:cstheme="minorHAnsi"/>
            </w:rPr>
            <w:t>T</w:t>
          </w:r>
          <w:r w:rsidR="00523D9A" w:rsidRPr="003067F0">
            <w:rPr>
              <w:rFonts w:cstheme="minorHAnsi"/>
            </w:rPr>
            <w:t>est</w:t>
          </w:r>
          <w:r w:rsidRPr="003067F0">
            <w:rPr>
              <w:rFonts w:cstheme="minorHAnsi"/>
            </w:rPr>
            <w:t xml:space="preserve">ing.  Whitepaper.  </w:t>
          </w:r>
          <w:r w:rsidR="002B3C9E" w:rsidRPr="003067F0">
            <w:rPr>
              <w:rFonts w:cstheme="minorHAnsi"/>
            </w:rPr>
            <w:t>Found</w:t>
          </w:r>
          <w:r w:rsidRPr="003067F0">
            <w:rPr>
              <w:rFonts w:cstheme="minorHAnsi"/>
            </w:rPr>
            <w:t xml:space="preserve"> at </w:t>
          </w:r>
        </w:p>
        <w:p w14:paraId="403E1933" w14:textId="0534F0E8" w:rsidR="00E36E3C" w:rsidRPr="003067F0" w:rsidRDefault="008C7EE9" w:rsidP="002D6A14">
          <w:pPr>
            <w:pStyle w:val="FootnoteText"/>
            <w:ind w:left="720" w:firstLine="0"/>
            <w:rPr>
              <w:rFonts w:cstheme="minorHAnsi"/>
              <w:sz w:val="24"/>
              <w:szCs w:val="24"/>
            </w:rPr>
          </w:pPr>
          <w:hyperlink r:id="rId9" w:history="1">
            <w:r w:rsidR="0039659E" w:rsidRPr="003067F0">
              <w:rPr>
                <w:rStyle w:val="Hyperlink"/>
                <w:rFonts w:cstheme="minorHAnsi"/>
                <w:sz w:val="24"/>
                <w:szCs w:val="24"/>
              </w:rPr>
              <w:t>www.corelogic.com/downloadable-docs/freddie-mac-home-value-suite/asset_upload_file698_27248.pdf</w:t>
            </w:r>
          </w:hyperlink>
          <w:r w:rsidR="00E36E3C" w:rsidRPr="003067F0">
            <w:rPr>
              <w:rFonts w:cstheme="minorHAnsi"/>
              <w:sz w:val="24"/>
              <w:szCs w:val="24"/>
            </w:rPr>
            <w:t xml:space="preserve"> .</w:t>
          </w:r>
        </w:p>
        <w:p w14:paraId="41106338" w14:textId="77777777" w:rsidR="00E36E3C" w:rsidRPr="003067F0" w:rsidRDefault="00E36E3C" w:rsidP="002D6A14">
          <w:pPr>
            <w:pStyle w:val="FootnoteText"/>
            <w:ind w:firstLine="0"/>
            <w:rPr>
              <w:rFonts w:cstheme="minorHAnsi"/>
              <w:sz w:val="24"/>
              <w:szCs w:val="24"/>
            </w:rPr>
          </w:pPr>
        </w:p>
        <w:p w14:paraId="27D15302" w14:textId="7797D2B1" w:rsidR="00623D33" w:rsidRPr="003067F0" w:rsidRDefault="00232F60" w:rsidP="002D6A14">
          <w:pPr>
            <w:pStyle w:val="FootnoteText"/>
            <w:ind w:firstLine="0"/>
            <w:rPr>
              <w:rFonts w:cstheme="minorHAnsi"/>
              <w:sz w:val="24"/>
              <w:szCs w:val="24"/>
            </w:rPr>
          </w:pPr>
          <w:r w:rsidRPr="003067F0">
            <w:rPr>
              <w:rFonts w:cstheme="minorHAnsi"/>
              <w:sz w:val="24"/>
              <w:szCs w:val="24"/>
            </w:rPr>
            <w:t xml:space="preserve">AVMetrics.  (2018).  Automated Valuation Model (AVM) </w:t>
          </w:r>
          <w:r w:rsidR="0046034C" w:rsidRPr="003067F0">
            <w:rPr>
              <w:rFonts w:cstheme="minorHAnsi"/>
              <w:sz w:val="24"/>
              <w:szCs w:val="24"/>
            </w:rPr>
            <w:t>T</w:t>
          </w:r>
          <w:r w:rsidR="00523D9A" w:rsidRPr="003067F0">
            <w:rPr>
              <w:rFonts w:cstheme="minorHAnsi"/>
              <w:sz w:val="24"/>
              <w:szCs w:val="24"/>
            </w:rPr>
            <w:t>est</w:t>
          </w:r>
          <w:r w:rsidRPr="003067F0">
            <w:rPr>
              <w:rFonts w:cstheme="minorHAnsi"/>
              <w:sz w:val="24"/>
              <w:szCs w:val="24"/>
            </w:rPr>
            <w:t xml:space="preserve">s. 58 pages.  </w:t>
          </w:r>
        </w:p>
        <w:p w14:paraId="30AFDC64" w14:textId="65A6B667" w:rsidR="0023772C" w:rsidRPr="003067F0" w:rsidRDefault="0023772C" w:rsidP="002D6A14">
          <w:pPr>
            <w:pStyle w:val="FootnoteText"/>
            <w:ind w:firstLine="0"/>
            <w:rPr>
              <w:rFonts w:cstheme="minorHAnsi"/>
              <w:sz w:val="24"/>
              <w:szCs w:val="24"/>
            </w:rPr>
          </w:pPr>
        </w:p>
        <w:p w14:paraId="47B07199" w14:textId="543EC332" w:rsidR="0023772C" w:rsidRPr="003067F0" w:rsidRDefault="0023772C" w:rsidP="002D6A14">
          <w:pPr>
            <w:pStyle w:val="FootnoteText"/>
            <w:ind w:firstLine="0"/>
            <w:rPr>
              <w:rFonts w:cstheme="minorHAnsi"/>
              <w:sz w:val="24"/>
              <w:szCs w:val="24"/>
            </w:rPr>
          </w:pPr>
          <w:r w:rsidRPr="003067F0">
            <w:rPr>
              <w:rFonts w:cstheme="minorHAnsi"/>
              <w:sz w:val="24"/>
              <w:szCs w:val="24"/>
            </w:rPr>
            <w:t>AVMetrics.  (20</w:t>
          </w:r>
          <w:r w:rsidR="007179FE">
            <w:rPr>
              <w:rFonts w:cstheme="minorHAnsi"/>
              <w:sz w:val="24"/>
              <w:szCs w:val="24"/>
            </w:rPr>
            <w:t>2</w:t>
          </w:r>
          <w:r w:rsidR="000C2DFD">
            <w:rPr>
              <w:rFonts w:cstheme="minorHAnsi"/>
              <w:sz w:val="24"/>
              <w:szCs w:val="24"/>
            </w:rPr>
            <w:t>1</w:t>
          </w:r>
          <w:r w:rsidRPr="003067F0">
            <w:rPr>
              <w:rFonts w:cstheme="minorHAnsi"/>
              <w:sz w:val="24"/>
              <w:szCs w:val="24"/>
            </w:rPr>
            <w:t xml:space="preserve">). AVMetrics Homepage.  Found at </w:t>
          </w:r>
          <w:hyperlink r:id="rId10" w:history="1">
            <w:r w:rsidR="0039659E" w:rsidRPr="003067F0">
              <w:rPr>
                <w:rStyle w:val="Hyperlink"/>
                <w:rFonts w:cstheme="minorHAnsi"/>
                <w:sz w:val="24"/>
                <w:szCs w:val="24"/>
              </w:rPr>
              <w:t>www.avmetrics.net/</w:t>
            </w:r>
          </w:hyperlink>
          <w:r w:rsidRPr="003067F0">
            <w:rPr>
              <w:rFonts w:cstheme="minorHAnsi"/>
              <w:sz w:val="24"/>
              <w:szCs w:val="24"/>
            </w:rPr>
            <w:t xml:space="preserve"> .</w:t>
          </w:r>
        </w:p>
        <w:p w14:paraId="455C03B4" w14:textId="7606ED39" w:rsidR="005909EF" w:rsidRPr="003067F0" w:rsidRDefault="005909EF" w:rsidP="002D6A14">
          <w:pPr>
            <w:pStyle w:val="FootnoteText"/>
            <w:ind w:firstLine="0"/>
            <w:rPr>
              <w:rFonts w:cstheme="minorHAnsi"/>
              <w:sz w:val="24"/>
              <w:szCs w:val="24"/>
            </w:rPr>
          </w:pPr>
        </w:p>
        <w:p w14:paraId="405B0650" w14:textId="2800164A" w:rsidR="002549CA" w:rsidRPr="003067F0" w:rsidRDefault="002549CA" w:rsidP="002D6A14">
          <w:pPr>
            <w:spacing w:line="240" w:lineRule="auto"/>
            <w:ind w:firstLine="0"/>
            <w:rPr>
              <w:rFonts w:cstheme="minorHAnsi"/>
            </w:rPr>
          </w:pPr>
          <w:r w:rsidRPr="003067F0">
            <w:rPr>
              <w:rFonts w:cstheme="minorHAnsi"/>
            </w:rPr>
            <w:t xml:space="preserve">Consumer Finance Protection Board </w:t>
          </w:r>
          <w:r w:rsidR="00DE70AF">
            <w:rPr>
              <w:rFonts w:cstheme="minorHAnsi"/>
            </w:rPr>
            <w:t>(</w:t>
          </w:r>
          <w:r w:rsidR="005909EF" w:rsidRPr="003067F0">
            <w:rPr>
              <w:rFonts w:cstheme="minorHAnsi"/>
            </w:rPr>
            <w:t>CFPB</w:t>
          </w:r>
          <w:r w:rsidR="00DE70AF">
            <w:rPr>
              <w:rFonts w:cstheme="minorHAnsi"/>
            </w:rPr>
            <w:t>)</w:t>
          </w:r>
          <w:r w:rsidR="005909EF" w:rsidRPr="003067F0">
            <w:rPr>
              <w:rFonts w:cstheme="minorHAnsi"/>
            </w:rPr>
            <w:t xml:space="preserve">.  (2014).  CFR Citation: 12 CFR 34; 12 CFR 1026. </w:t>
          </w:r>
        </w:p>
        <w:p w14:paraId="232F6167" w14:textId="64BE8E50" w:rsidR="00A931DD" w:rsidRPr="001E4640" w:rsidRDefault="006224B7" w:rsidP="002D6A14">
          <w:pPr>
            <w:spacing w:line="240" w:lineRule="auto"/>
            <w:ind w:left="720" w:firstLine="0"/>
            <w:rPr>
              <w:rFonts w:cstheme="minorHAnsi"/>
              <w:color w:val="FF0000"/>
            </w:rPr>
          </w:pPr>
          <w:r>
            <w:rPr>
              <w:rFonts w:cstheme="minorHAnsi"/>
            </w:rPr>
            <w:t>Found</w:t>
          </w:r>
          <w:r w:rsidR="005909EF" w:rsidRPr="003067F0">
            <w:rPr>
              <w:rFonts w:cstheme="minorHAnsi"/>
            </w:rPr>
            <w:t xml:space="preserve"> at:  </w:t>
          </w:r>
          <w:hyperlink r:id="rId11" w:history="1">
            <w:r w:rsidR="005909EF" w:rsidRPr="003067F0">
              <w:rPr>
                <w:rStyle w:val="Hyperlink"/>
                <w:rFonts w:cstheme="minorHAnsi"/>
              </w:rPr>
              <w:t>reginfo.gov/public/do/eAgendaViewRule?pubId=201410&amp;RIN=3170-AA44</w:t>
            </w:r>
          </w:hyperlink>
          <w:r w:rsidR="005909EF" w:rsidRPr="003067F0">
            <w:rPr>
              <w:rFonts w:cstheme="minorHAnsi"/>
            </w:rPr>
            <w:t xml:space="preserve"> </w:t>
          </w:r>
          <w:r w:rsidR="00A931DD" w:rsidRPr="003067F0">
            <w:rPr>
              <w:rFonts w:cstheme="minorHAnsi"/>
            </w:rPr>
            <w:t>.</w:t>
          </w:r>
          <w:r w:rsidR="007179FE">
            <w:rPr>
              <w:rFonts w:cstheme="minorHAnsi"/>
            </w:rPr>
            <w:t xml:space="preserve">  </w:t>
          </w:r>
        </w:p>
        <w:p w14:paraId="7FFEFAFC" w14:textId="73EF9F43" w:rsidR="004331B0" w:rsidRPr="003067F0" w:rsidRDefault="004331B0" w:rsidP="002D6A14">
          <w:pPr>
            <w:pStyle w:val="FootnoteText"/>
            <w:ind w:firstLine="0"/>
            <w:rPr>
              <w:rFonts w:cstheme="minorHAnsi"/>
              <w:sz w:val="24"/>
              <w:szCs w:val="24"/>
            </w:rPr>
          </w:pPr>
        </w:p>
        <w:p w14:paraId="560D5E03" w14:textId="77777777" w:rsidR="0061342C" w:rsidRPr="003067F0" w:rsidRDefault="0061342C" w:rsidP="0061342C">
          <w:pPr>
            <w:spacing w:line="240" w:lineRule="auto"/>
            <w:ind w:left="720" w:hanging="720"/>
            <w:rPr>
              <w:rFonts w:cstheme="minorHAnsi"/>
            </w:rPr>
          </w:pPr>
          <w:r w:rsidRPr="003067F0">
            <w:rPr>
              <w:rFonts w:cstheme="minorHAnsi"/>
            </w:rPr>
            <w:t>CoreLogic. (2011). Automated Valuation Model Testing. Whitepaper. Found at</w:t>
          </w:r>
        </w:p>
        <w:p w14:paraId="59DC7447" w14:textId="77777777" w:rsidR="0061342C" w:rsidRPr="003067F0" w:rsidRDefault="008C7EE9" w:rsidP="0061342C">
          <w:pPr>
            <w:spacing w:line="240" w:lineRule="auto"/>
            <w:ind w:left="720" w:firstLine="0"/>
            <w:rPr>
              <w:rFonts w:cstheme="minorHAnsi"/>
            </w:rPr>
          </w:pPr>
          <w:hyperlink r:id="rId12" w:history="1">
            <w:r w:rsidR="0061342C" w:rsidRPr="003067F0">
              <w:rPr>
                <w:rStyle w:val="Hyperlink"/>
                <w:rFonts w:cstheme="minorHAnsi"/>
              </w:rPr>
              <w:t>https://www.corelogic.com/downloadable-docs/automated-valuation-model-testing.pdf</w:t>
            </w:r>
          </w:hyperlink>
          <w:r w:rsidR="0061342C" w:rsidRPr="003067F0">
            <w:rPr>
              <w:rFonts w:cstheme="minorHAnsi"/>
            </w:rPr>
            <w:t xml:space="preserve"> .</w:t>
          </w:r>
        </w:p>
        <w:p w14:paraId="7E8F094E" w14:textId="77777777" w:rsidR="0061342C" w:rsidRPr="003067F0" w:rsidRDefault="0061342C" w:rsidP="0061342C">
          <w:pPr>
            <w:spacing w:line="240" w:lineRule="auto"/>
            <w:ind w:firstLine="0"/>
            <w:rPr>
              <w:rFonts w:cstheme="minorHAnsi"/>
            </w:rPr>
          </w:pPr>
        </w:p>
        <w:p w14:paraId="42AF4203" w14:textId="77777777" w:rsidR="002B3C9E" w:rsidRPr="003067F0" w:rsidRDefault="0061342C" w:rsidP="002B3C9E">
          <w:pPr>
            <w:spacing w:line="240" w:lineRule="auto"/>
            <w:ind w:firstLine="0"/>
            <w:rPr>
              <w:rFonts w:cstheme="minorHAnsi"/>
            </w:rPr>
          </w:pPr>
          <w:r w:rsidRPr="003067F0">
            <w:rPr>
              <w:rFonts w:cstheme="minorHAnsi"/>
            </w:rPr>
            <w:t>CoreLogic. (2014). AVM FAQs.</w:t>
          </w:r>
          <w:r w:rsidR="002B3C9E" w:rsidRPr="003067F0">
            <w:rPr>
              <w:rFonts w:cstheme="minorHAnsi"/>
            </w:rPr>
            <w:t xml:space="preserve"> </w:t>
          </w:r>
          <w:r w:rsidRPr="003067F0">
            <w:rPr>
              <w:rFonts w:cstheme="minorHAnsi"/>
            </w:rPr>
            <w:t xml:space="preserve">Found at: </w:t>
          </w:r>
        </w:p>
        <w:p w14:paraId="77EF43B7" w14:textId="433B210D" w:rsidR="002717F0" w:rsidRPr="002717F0" w:rsidRDefault="002B3C9E" w:rsidP="002717F0">
          <w:pPr>
            <w:spacing w:line="240" w:lineRule="auto"/>
            <w:ind w:firstLine="0"/>
            <w:rPr>
              <w:rFonts w:eastAsia="Times New Roman" w:cstheme="minorHAnsi"/>
              <w:lang w:eastAsia="en-US"/>
            </w:rPr>
          </w:pPr>
          <w:r w:rsidRPr="003067F0">
            <w:rPr>
              <w:rFonts w:cstheme="minorHAnsi"/>
            </w:rPr>
            <w:tab/>
          </w:r>
          <w:hyperlink r:id="rId13" w:history="1">
            <w:r w:rsidR="00C616CB" w:rsidRPr="003067F0">
              <w:rPr>
                <w:rStyle w:val="Hyperlink"/>
                <w:rFonts w:eastAsia="Times New Roman" w:cstheme="minorHAnsi"/>
                <w:lang w:eastAsia="en-US"/>
              </w:rPr>
              <w:t>https://www.corelogic.com/downloadable-docs/avm-faqs.pdf</w:t>
            </w:r>
          </w:hyperlink>
          <w:r w:rsidR="0061342C" w:rsidRPr="003067F0">
            <w:rPr>
              <w:rFonts w:eastAsia="Times New Roman" w:cstheme="minorHAnsi"/>
              <w:lang w:eastAsia="en-US"/>
            </w:rPr>
            <w:t xml:space="preserve"> .</w:t>
          </w:r>
          <w:r w:rsidR="002717F0">
            <w:rPr>
              <w:rFonts w:eastAsia="Times New Roman" w:cstheme="minorHAnsi"/>
              <w:lang w:eastAsia="en-US"/>
            </w:rPr>
            <w:t xml:space="preserve"> </w:t>
          </w:r>
          <w:r w:rsidR="002717F0">
            <w:rPr>
              <w:rFonts w:eastAsia="Times New Roman" w:cstheme="minorHAnsi"/>
              <w:lang w:eastAsia="en-US"/>
            </w:rPr>
            <w:tab/>
          </w:r>
          <w:r w:rsidR="002717F0" w:rsidRPr="002717F0">
            <w:rPr>
              <w:rFonts w:eastAsia="Times New Roman" w:cstheme="minorHAnsi"/>
              <w:lang w:val="en" w:eastAsia="en-US"/>
            </w:rPr>
            <w:t xml:space="preserve"> </w:t>
          </w:r>
        </w:p>
        <w:p w14:paraId="34F22760" w14:textId="77777777" w:rsidR="0061342C" w:rsidRPr="003067F0" w:rsidRDefault="0061342C" w:rsidP="002D6A14">
          <w:pPr>
            <w:spacing w:line="240" w:lineRule="auto"/>
            <w:ind w:firstLine="0"/>
            <w:rPr>
              <w:rFonts w:eastAsia="Times New Roman" w:cstheme="minorHAnsi"/>
              <w:color w:val="auto"/>
              <w:lang w:eastAsia="en-US"/>
            </w:rPr>
          </w:pPr>
        </w:p>
        <w:p w14:paraId="555AF2A2" w14:textId="0237E252" w:rsidR="009F5994" w:rsidRPr="003067F0" w:rsidRDefault="009F5994" w:rsidP="002D6A14">
          <w:pPr>
            <w:spacing w:line="240" w:lineRule="auto"/>
            <w:ind w:firstLine="0"/>
            <w:rPr>
              <w:rFonts w:eastAsia="Times New Roman" w:cstheme="minorHAnsi"/>
              <w:color w:val="auto"/>
              <w:lang w:eastAsia="en-US"/>
            </w:rPr>
          </w:pPr>
          <w:r w:rsidRPr="003067F0">
            <w:rPr>
              <w:rFonts w:eastAsia="Times New Roman" w:cstheme="minorHAnsi"/>
              <w:color w:val="auto"/>
              <w:lang w:eastAsia="en-US"/>
            </w:rPr>
            <w:t xml:space="preserve">CRC. (2003). The CRC Guide to Automated Valuation Model (AVM) Performance </w:t>
          </w:r>
          <w:r w:rsidR="0046034C" w:rsidRPr="003067F0">
            <w:rPr>
              <w:rFonts w:eastAsia="Times New Roman" w:cstheme="minorHAnsi"/>
              <w:color w:val="auto"/>
              <w:lang w:eastAsia="en-US"/>
            </w:rPr>
            <w:t>T</w:t>
          </w:r>
          <w:r w:rsidR="00523D9A" w:rsidRPr="003067F0">
            <w:rPr>
              <w:rFonts w:eastAsia="Times New Roman" w:cstheme="minorHAnsi"/>
              <w:color w:val="auto"/>
              <w:lang w:eastAsia="en-US"/>
            </w:rPr>
            <w:t>est</w:t>
          </w:r>
          <w:r w:rsidRPr="003067F0">
            <w:rPr>
              <w:rFonts w:eastAsia="Times New Roman" w:cstheme="minorHAnsi"/>
              <w:color w:val="auto"/>
              <w:lang w:eastAsia="en-US"/>
            </w:rPr>
            <w:t xml:space="preserve">ing. </w:t>
          </w:r>
        </w:p>
        <w:p w14:paraId="6B6476E3" w14:textId="55E75A10" w:rsidR="009F5994" w:rsidRPr="003067F0" w:rsidRDefault="00451FEC" w:rsidP="002D6A14">
          <w:pPr>
            <w:spacing w:line="240" w:lineRule="auto"/>
            <w:ind w:left="720" w:firstLine="0"/>
            <w:rPr>
              <w:rFonts w:eastAsia="Times New Roman" w:cstheme="minorHAnsi"/>
              <w:color w:val="auto"/>
              <w:lang w:eastAsia="en-US"/>
            </w:rPr>
          </w:pPr>
          <w:r w:rsidRPr="003067F0">
            <w:rPr>
              <w:rFonts w:cstheme="minorHAnsi"/>
            </w:rPr>
            <w:t>Available</w:t>
          </w:r>
          <w:r w:rsidR="009F5994" w:rsidRPr="003067F0">
            <w:rPr>
              <w:rFonts w:eastAsia="Times New Roman" w:cstheme="minorHAnsi"/>
              <w:color w:val="auto"/>
              <w:lang w:eastAsia="en-US"/>
            </w:rPr>
            <w:t xml:space="preserve"> at </w:t>
          </w:r>
          <w:hyperlink r:id="rId14" w:history="1">
            <w:r w:rsidR="009F5994" w:rsidRPr="003067F0">
              <w:rPr>
                <w:rStyle w:val="Hyperlink"/>
                <w:rFonts w:eastAsia="Times New Roman" w:cstheme="minorHAnsi"/>
                <w:lang w:eastAsia="en-US"/>
              </w:rPr>
              <w:t>https://docplayer.net/8833631-The-crc-guide-to-automated-valuation-model-avm-performance-</w:t>
            </w:r>
            <w:r w:rsidR="0046034C" w:rsidRPr="003067F0">
              <w:rPr>
                <w:rStyle w:val="Hyperlink"/>
                <w:rFonts w:eastAsia="Times New Roman" w:cstheme="minorHAnsi"/>
                <w:lang w:eastAsia="en-US"/>
              </w:rPr>
              <w:t>TEST</w:t>
            </w:r>
            <w:r w:rsidR="009F5994" w:rsidRPr="003067F0">
              <w:rPr>
                <w:rStyle w:val="Hyperlink"/>
                <w:rFonts w:eastAsia="Times New Roman" w:cstheme="minorHAnsi"/>
                <w:lang w:eastAsia="en-US"/>
              </w:rPr>
              <w:t>ing-preliminary-report-of-the-avm-performance-</w:t>
            </w:r>
            <w:r w:rsidR="0046034C" w:rsidRPr="003067F0">
              <w:rPr>
                <w:rStyle w:val="Hyperlink"/>
                <w:rFonts w:eastAsia="Times New Roman" w:cstheme="minorHAnsi"/>
                <w:lang w:eastAsia="en-US"/>
              </w:rPr>
              <w:t>TEST</w:t>
            </w:r>
            <w:r w:rsidR="009F5994" w:rsidRPr="003067F0">
              <w:rPr>
                <w:rStyle w:val="Hyperlink"/>
                <w:rFonts w:eastAsia="Times New Roman" w:cstheme="minorHAnsi"/>
                <w:lang w:eastAsia="en-US"/>
              </w:rPr>
              <w:t>ing-subcommittee.html</w:t>
            </w:r>
          </w:hyperlink>
          <w:r w:rsidR="009F5994" w:rsidRPr="003067F0">
            <w:rPr>
              <w:rFonts w:eastAsia="Times New Roman" w:cstheme="minorHAnsi"/>
              <w:color w:val="auto"/>
              <w:lang w:eastAsia="en-US"/>
            </w:rPr>
            <w:t xml:space="preserve"> .</w:t>
          </w:r>
        </w:p>
        <w:p w14:paraId="6513F987" w14:textId="77777777" w:rsidR="000B6D2E" w:rsidRPr="003067F0" w:rsidRDefault="000B6D2E" w:rsidP="002D6A14">
          <w:pPr>
            <w:pStyle w:val="FootnoteText"/>
            <w:ind w:firstLine="0"/>
            <w:rPr>
              <w:rFonts w:cstheme="minorHAnsi"/>
              <w:sz w:val="24"/>
              <w:szCs w:val="24"/>
            </w:rPr>
          </w:pPr>
        </w:p>
        <w:p w14:paraId="710A6258" w14:textId="77777777" w:rsidR="00B715D7" w:rsidRPr="00010BE4" w:rsidRDefault="00B715D7" w:rsidP="00B715D7">
          <w:pPr>
            <w:pStyle w:val="FootnoteText"/>
            <w:ind w:firstLine="0"/>
            <w:rPr>
              <w:rFonts w:ascii="Times New Roman" w:hAnsi="Times New Roman" w:cs="Times New Roman"/>
              <w:sz w:val="24"/>
              <w:szCs w:val="24"/>
            </w:rPr>
          </w:pPr>
          <w:r w:rsidRPr="00010BE4">
            <w:rPr>
              <w:rFonts w:ascii="Times New Roman" w:hAnsi="Times New Roman" w:cs="Times New Roman"/>
              <w:sz w:val="24"/>
              <w:szCs w:val="24"/>
            </w:rPr>
            <w:t>Ecker, M. D., Isakson, H. R. and L. Kennedy. (2021).  An Exposition of AVM Performance</w:t>
          </w:r>
        </w:p>
        <w:p w14:paraId="366BD02B" w14:textId="77777777" w:rsidR="00B715D7" w:rsidRDefault="00B715D7" w:rsidP="00B715D7">
          <w:pPr>
            <w:pStyle w:val="FootnoteText"/>
            <w:rPr>
              <w:rFonts w:ascii="Times New Roman" w:hAnsi="Times New Roman" w:cs="Times New Roman"/>
              <w:sz w:val="24"/>
              <w:szCs w:val="24"/>
            </w:rPr>
          </w:pPr>
          <w:r w:rsidRPr="00010BE4">
            <w:rPr>
              <w:rFonts w:ascii="Times New Roman" w:hAnsi="Times New Roman" w:cs="Times New Roman"/>
              <w:sz w:val="24"/>
              <w:szCs w:val="24"/>
            </w:rPr>
            <w:t xml:space="preserve">Metrics.  </w:t>
          </w:r>
          <w:r w:rsidRPr="00010BE4">
            <w:rPr>
              <w:rFonts w:ascii="Times New Roman" w:hAnsi="Times New Roman" w:cs="Times New Roman"/>
              <w:i/>
              <w:iCs/>
              <w:sz w:val="24"/>
              <w:szCs w:val="24"/>
            </w:rPr>
            <w:t>Journal of Real Estate Practice and Education</w:t>
          </w:r>
          <w:r w:rsidRPr="00010BE4">
            <w:rPr>
              <w:rFonts w:ascii="Times New Roman" w:hAnsi="Times New Roman" w:cs="Times New Roman"/>
              <w:sz w:val="24"/>
              <w:szCs w:val="24"/>
            </w:rPr>
            <w:t xml:space="preserve">. </w:t>
          </w:r>
          <w:r w:rsidRPr="004F6854">
            <w:rPr>
              <w:rFonts w:ascii="Times New Roman" w:hAnsi="Times New Roman" w:cs="Times New Roman"/>
              <w:b/>
              <w:sz w:val="24"/>
              <w:szCs w:val="24"/>
            </w:rPr>
            <w:t xml:space="preserve">22 </w:t>
          </w:r>
          <w:r w:rsidRPr="004F6854">
            <w:rPr>
              <w:rFonts w:ascii="Times New Roman" w:hAnsi="Times New Roman" w:cs="Times New Roman"/>
              <w:bCs/>
              <w:sz w:val="24"/>
              <w:szCs w:val="24"/>
            </w:rPr>
            <w:t>(1)</w:t>
          </w:r>
          <w:r w:rsidRPr="004F6854">
            <w:rPr>
              <w:rFonts w:ascii="Times New Roman" w:hAnsi="Times New Roman" w:cs="Times New Roman"/>
              <w:sz w:val="24"/>
              <w:szCs w:val="24"/>
            </w:rPr>
            <w:t xml:space="preserve">,  pp 22-39.  </w:t>
          </w:r>
        </w:p>
        <w:p w14:paraId="611DC162" w14:textId="77777777" w:rsidR="00B715D7" w:rsidRPr="004F6854" w:rsidRDefault="00B715D7" w:rsidP="00B715D7">
          <w:pPr>
            <w:pStyle w:val="FootnoteText"/>
            <w:rPr>
              <w:rFonts w:ascii="Times New Roman" w:hAnsi="Times New Roman" w:cs="Times New Roman"/>
              <w:sz w:val="24"/>
              <w:szCs w:val="24"/>
            </w:rPr>
          </w:pPr>
          <w:r w:rsidRPr="004F6854">
            <w:rPr>
              <w:rFonts w:ascii="Times New Roman" w:hAnsi="Times New Roman" w:cs="Times New Roman"/>
              <w:sz w:val="24"/>
              <w:szCs w:val="24"/>
            </w:rPr>
            <w:t>DOI:</w:t>
          </w:r>
          <w:r>
            <w:rPr>
              <w:rFonts w:ascii="Times New Roman" w:hAnsi="Times New Roman" w:cs="Times New Roman"/>
              <w:sz w:val="24"/>
              <w:szCs w:val="24"/>
            </w:rPr>
            <w:t xml:space="preserve"> </w:t>
          </w:r>
          <w:hyperlink r:id="rId15" w:history="1">
            <w:r w:rsidRPr="004F6854">
              <w:rPr>
                <w:rStyle w:val="Hyperlink"/>
                <w:rFonts w:ascii="Times New Roman" w:hAnsi="Times New Roman" w:cs="Times New Roman"/>
                <w:sz w:val="24"/>
                <w:szCs w:val="24"/>
              </w:rPr>
              <w:t>https://doi.org/10.1080/15214842.2020.1757352</w:t>
            </w:r>
          </w:hyperlink>
          <w:r w:rsidRPr="004F6854">
            <w:rPr>
              <w:rFonts w:ascii="Times New Roman" w:hAnsi="Times New Roman" w:cs="Times New Roman"/>
              <w:sz w:val="24"/>
              <w:szCs w:val="24"/>
            </w:rPr>
            <w:t xml:space="preserve"> .</w:t>
          </w:r>
        </w:p>
        <w:p w14:paraId="79379948" w14:textId="65005FE2" w:rsidR="00543F6D" w:rsidRPr="003067F0" w:rsidRDefault="00543F6D" w:rsidP="002D6A14">
          <w:pPr>
            <w:pStyle w:val="FootnoteText"/>
            <w:ind w:firstLine="0"/>
            <w:rPr>
              <w:rFonts w:cstheme="minorHAnsi"/>
              <w:sz w:val="24"/>
              <w:szCs w:val="24"/>
            </w:rPr>
          </w:pPr>
        </w:p>
        <w:p w14:paraId="5F1CFD15" w14:textId="51F29565" w:rsidR="00543F6D" w:rsidRPr="003067F0" w:rsidRDefault="00543F6D" w:rsidP="002D6A14">
          <w:pPr>
            <w:spacing w:line="240" w:lineRule="auto"/>
            <w:ind w:firstLine="0"/>
            <w:rPr>
              <w:rFonts w:cstheme="minorHAnsi"/>
            </w:rPr>
          </w:pPr>
          <w:r w:rsidRPr="003067F0">
            <w:rPr>
              <w:rFonts w:cstheme="minorHAnsi"/>
            </w:rPr>
            <w:t>Ekram, L. and W. Fricke</w:t>
          </w:r>
          <w:r w:rsidR="007179FE">
            <w:rPr>
              <w:rFonts w:cstheme="minorHAnsi"/>
            </w:rPr>
            <w:t xml:space="preserve">.  </w:t>
          </w:r>
          <w:r w:rsidRPr="003067F0">
            <w:rPr>
              <w:rFonts w:cstheme="minorHAnsi"/>
            </w:rPr>
            <w:t xml:space="preserve">(2019).  Moody’s – Automated valuation models for home </w:t>
          </w:r>
        </w:p>
        <w:p w14:paraId="5A6B3D56" w14:textId="0F236AEE" w:rsidR="00543F6D" w:rsidRPr="003067F0" w:rsidRDefault="00543F6D" w:rsidP="002D6A14">
          <w:pPr>
            <w:spacing w:line="240" w:lineRule="auto"/>
            <w:ind w:left="720" w:firstLine="0"/>
            <w:rPr>
              <w:rFonts w:cstheme="minorHAnsi"/>
            </w:rPr>
          </w:pPr>
          <w:r w:rsidRPr="003067F0">
            <w:rPr>
              <w:rFonts w:cstheme="minorHAnsi"/>
            </w:rPr>
            <w:t xml:space="preserve">appraisals a mixed bag for RMBS credit quality.  </w:t>
          </w:r>
          <w:r w:rsidR="00456288">
            <w:rPr>
              <w:rFonts w:cstheme="minorHAnsi"/>
            </w:rPr>
            <w:t>Found</w:t>
          </w:r>
          <w:r w:rsidRPr="003067F0">
            <w:rPr>
              <w:rFonts w:cstheme="minorHAnsi"/>
            </w:rPr>
            <w:t xml:space="preserve"> at: </w:t>
          </w:r>
          <w:hyperlink r:id="rId16" w:history="1">
            <w:r w:rsidRPr="003067F0">
              <w:rPr>
                <w:rStyle w:val="Hyperlink"/>
                <w:rFonts w:cstheme="minorHAnsi"/>
              </w:rPr>
              <w:t>www.moodys.com/research/Moodys-Automated-valuation-models-for-home-appraisals-a-mixed-bag--PBS_1182443?WT.mc_id=AM%7eRmluYW56ZW4ubmV0X1JTQl9SYXRpbmdzX05ld3NfTm9fVHJhbnNsYXRpb25z%7e20190624_PBS_1182443</w:t>
            </w:r>
          </w:hyperlink>
          <w:r w:rsidRPr="003067F0">
            <w:rPr>
              <w:rFonts w:cstheme="minorHAnsi"/>
            </w:rPr>
            <w:t xml:space="preserve"> .</w:t>
          </w:r>
        </w:p>
        <w:p w14:paraId="51648861" w14:textId="18D0C53C" w:rsidR="00E82DE7" w:rsidRPr="003067F0" w:rsidRDefault="00E82DE7" w:rsidP="002D6A14">
          <w:pPr>
            <w:pStyle w:val="FootnoteText"/>
            <w:ind w:firstLine="0"/>
            <w:rPr>
              <w:rFonts w:cstheme="minorHAnsi"/>
              <w:sz w:val="24"/>
              <w:szCs w:val="24"/>
            </w:rPr>
          </w:pPr>
        </w:p>
        <w:p w14:paraId="099B0F45" w14:textId="2108A858" w:rsidR="00A932E6" w:rsidRPr="00E6385C" w:rsidRDefault="00E6385C" w:rsidP="00A932E6">
          <w:pPr>
            <w:pStyle w:val="Heading2"/>
            <w:spacing w:line="240" w:lineRule="auto"/>
            <w:rPr>
              <w:rStyle w:val="Hyperlink"/>
              <w:rFonts w:asciiTheme="minorHAnsi" w:hAnsiTheme="minorHAnsi" w:cstheme="minorHAnsi"/>
              <w:b w:val="0"/>
              <w:color w:val="000000" w:themeColor="text1"/>
              <w:u w:val="none"/>
            </w:rPr>
          </w:pPr>
          <w:r w:rsidRPr="00E6385C">
            <w:rPr>
              <w:b w:val="0"/>
              <w:bCs w:val="0"/>
            </w:rPr>
            <w:t>Federal Deposit Insurance Corporation</w:t>
          </w:r>
          <w:r>
            <w:rPr>
              <w:b w:val="0"/>
              <w:bCs w:val="0"/>
            </w:rPr>
            <w:t xml:space="preserve"> (FDIC)</w:t>
          </w:r>
          <w:r w:rsidR="004D5A76" w:rsidRPr="00E6385C">
            <w:rPr>
              <w:rFonts w:asciiTheme="minorHAnsi" w:hAnsiTheme="minorHAnsi" w:cstheme="minorHAnsi"/>
              <w:b w:val="0"/>
              <w:bCs w:val="0"/>
            </w:rPr>
            <w:t xml:space="preserve">. (2018).  Appraisal Threshold for Residential </w:t>
          </w:r>
          <w:r>
            <w:rPr>
              <w:rFonts w:asciiTheme="minorHAnsi" w:hAnsiTheme="minorHAnsi" w:cstheme="minorHAnsi"/>
              <w:b w:val="0"/>
              <w:bCs w:val="0"/>
            </w:rPr>
            <w:tab/>
          </w:r>
          <w:r w:rsidR="004D5A76" w:rsidRPr="00E6385C">
            <w:rPr>
              <w:rFonts w:asciiTheme="minorHAnsi" w:hAnsiTheme="minorHAnsi" w:cstheme="minorHAnsi"/>
              <w:b w:val="0"/>
              <w:bCs w:val="0"/>
            </w:rPr>
            <w:t>Real</w:t>
          </w:r>
          <w:r w:rsidR="004D5A76" w:rsidRPr="003067F0">
            <w:rPr>
              <w:rFonts w:asciiTheme="minorHAnsi" w:hAnsiTheme="minorHAnsi" w:cstheme="minorHAnsi"/>
              <w:b w:val="0"/>
            </w:rPr>
            <w:t xml:space="preserve"> Estate Loans.  Found at </w:t>
          </w:r>
          <w:r>
            <w:rPr>
              <w:rFonts w:asciiTheme="minorHAnsi" w:hAnsiTheme="minorHAnsi" w:cstheme="minorHAnsi"/>
              <w:b w:val="0"/>
            </w:rPr>
            <w:tab/>
          </w:r>
          <w:hyperlink r:id="rId17" w:history="1">
            <w:r w:rsidRPr="00825943">
              <w:rPr>
                <w:rStyle w:val="Hyperlink"/>
                <w:rFonts w:asciiTheme="minorHAnsi" w:hAnsiTheme="minorHAnsi" w:cstheme="minorHAnsi"/>
                <w:b w:val="0"/>
              </w:rPr>
              <w:t>https://www.fdic.gov/news/news/financial/2018/fil18076.html</w:t>
            </w:r>
          </w:hyperlink>
          <w:r w:rsidR="004D5A76" w:rsidRPr="003067F0">
            <w:rPr>
              <w:rStyle w:val="Hyperlink"/>
              <w:rFonts w:asciiTheme="minorHAnsi" w:hAnsiTheme="minorHAnsi" w:cstheme="minorHAnsi"/>
              <w:b w:val="0"/>
            </w:rPr>
            <w:t xml:space="preserve"> .</w:t>
          </w:r>
        </w:p>
        <w:p w14:paraId="1D9AB4C5" w14:textId="4130E19A" w:rsidR="00A932E6" w:rsidRDefault="00A932E6" w:rsidP="00A932E6">
          <w:pPr>
            <w:pStyle w:val="FootnoteText"/>
            <w:ind w:firstLine="0"/>
            <w:rPr>
              <w:rFonts w:cstheme="minorHAnsi"/>
              <w:sz w:val="24"/>
              <w:szCs w:val="24"/>
            </w:rPr>
          </w:pPr>
        </w:p>
        <w:p w14:paraId="0B4BAB76" w14:textId="311A75F6" w:rsidR="004C07C8" w:rsidRPr="003D7A8F" w:rsidRDefault="00E6385C" w:rsidP="003D7A8F">
          <w:pPr>
            <w:spacing w:line="240" w:lineRule="auto"/>
            <w:ind w:firstLine="0"/>
            <w:rPr>
              <w:rFonts w:asciiTheme="majorHAnsi" w:hAnsiTheme="majorHAnsi" w:cstheme="majorHAnsi"/>
            </w:rPr>
          </w:pPr>
          <w:r w:rsidRPr="00FE3BA3">
            <w:t>Federal Housing Finance Agency</w:t>
          </w:r>
          <w:r>
            <w:t xml:space="preserve"> (FHFA)</w:t>
          </w:r>
          <w:r w:rsidR="004C07C8">
            <w:rPr>
              <w:rFonts w:asciiTheme="majorHAnsi" w:hAnsiTheme="majorHAnsi" w:cstheme="majorHAnsi"/>
            </w:rPr>
            <w:t xml:space="preserve"> Office of Inspector General.  (2018).  An Overview of </w:t>
          </w:r>
          <w:r>
            <w:rPr>
              <w:rFonts w:asciiTheme="majorHAnsi" w:hAnsiTheme="majorHAnsi" w:cstheme="majorHAnsi"/>
            </w:rPr>
            <w:tab/>
          </w:r>
          <w:r w:rsidR="004C07C8">
            <w:rPr>
              <w:rFonts w:asciiTheme="majorHAnsi" w:hAnsiTheme="majorHAnsi" w:cstheme="majorHAnsi"/>
            </w:rPr>
            <w:t xml:space="preserve">Enterprise Appraisal Waivers.  Found at </w:t>
          </w:r>
          <w:r>
            <w:rPr>
              <w:rFonts w:asciiTheme="majorHAnsi" w:hAnsiTheme="majorHAnsi" w:cstheme="majorHAnsi"/>
            </w:rPr>
            <w:tab/>
          </w:r>
          <w:hyperlink r:id="rId18" w:history="1">
            <w:r w:rsidR="00DE70AF" w:rsidRPr="00825943">
              <w:rPr>
                <w:rStyle w:val="Hyperlink"/>
                <w:rFonts w:asciiTheme="majorHAnsi" w:hAnsiTheme="majorHAnsi" w:cstheme="majorHAnsi"/>
              </w:rPr>
              <w:t>https://www.fhfaoig.gov/sites/default/files/WPR-2018-006.pdf</w:t>
            </w:r>
          </w:hyperlink>
          <w:r w:rsidR="004C07C8">
            <w:rPr>
              <w:rFonts w:asciiTheme="majorHAnsi" w:hAnsiTheme="majorHAnsi" w:cstheme="majorHAnsi"/>
            </w:rPr>
            <w:t xml:space="preserve"> .</w:t>
          </w:r>
        </w:p>
        <w:p w14:paraId="5BE6D2C6" w14:textId="77777777" w:rsidR="004C07C8" w:rsidRDefault="004C07C8" w:rsidP="00A932E6">
          <w:pPr>
            <w:pStyle w:val="FootnoteText"/>
            <w:ind w:firstLine="0"/>
            <w:rPr>
              <w:rFonts w:cstheme="minorHAnsi"/>
              <w:sz w:val="24"/>
              <w:szCs w:val="24"/>
            </w:rPr>
          </w:pPr>
        </w:p>
        <w:p w14:paraId="77D7B46E" w14:textId="4F6D9037" w:rsidR="0079689A" w:rsidRPr="0051629B" w:rsidRDefault="0079689A" w:rsidP="0079689A">
          <w:pPr>
            <w:spacing w:line="240" w:lineRule="auto"/>
            <w:ind w:firstLine="0"/>
            <w:rPr>
              <w:rFonts w:asciiTheme="majorHAnsi" w:hAnsiTheme="majorHAnsi" w:cstheme="majorHAnsi"/>
            </w:rPr>
          </w:pPr>
          <w:r w:rsidRPr="0051629B">
            <w:rPr>
              <w:rFonts w:asciiTheme="majorHAnsi" w:hAnsiTheme="majorHAnsi" w:cstheme="majorHAnsi"/>
            </w:rPr>
            <w:t xml:space="preserve">Freddie Mac. (2019). Single-Family Business, Forecast Standard Deviation.  Found at </w:t>
          </w:r>
        </w:p>
        <w:p w14:paraId="2931E2DD" w14:textId="77777777" w:rsidR="0079689A" w:rsidRPr="00062A99" w:rsidRDefault="008C7EE9" w:rsidP="0079689A">
          <w:pPr>
            <w:spacing w:line="240" w:lineRule="auto"/>
            <w:rPr>
              <w:rFonts w:asciiTheme="majorHAnsi" w:hAnsiTheme="majorHAnsi" w:cstheme="majorHAnsi"/>
            </w:rPr>
          </w:pPr>
          <w:hyperlink r:id="rId19" w:history="1">
            <w:r w:rsidR="0079689A" w:rsidRPr="00EB3AAF">
              <w:rPr>
                <w:rStyle w:val="Hyperlink"/>
                <w:rFonts w:asciiTheme="majorHAnsi" w:hAnsiTheme="majorHAnsi" w:cstheme="majorHAnsi"/>
              </w:rPr>
              <w:t>www.freddiemac.com/hve/fsd.html</w:t>
            </w:r>
          </w:hyperlink>
          <w:r w:rsidR="0079689A">
            <w:rPr>
              <w:rStyle w:val="Hyperlink"/>
              <w:rFonts w:asciiTheme="majorHAnsi" w:hAnsiTheme="majorHAnsi" w:cstheme="majorHAnsi"/>
              <w:u w:val="none"/>
            </w:rPr>
            <w:t xml:space="preserve"> .</w:t>
          </w:r>
        </w:p>
        <w:p w14:paraId="78DE00F5" w14:textId="77777777" w:rsidR="0079689A" w:rsidRPr="003067F0" w:rsidRDefault="0079689A" w:rsidP="00A932E6">
          <w:pPr>
            <w:pStyle w:val="FootnoteText"/>
            <w:ind w:firstLine="0"/>
            <w:rPr>
              <w:rFonts w:cstheme="minorHAnsi"/>
              <w:sz w:val="24"/>
              <w:szCs w:val="24"/>
            </w:rPr>
          </w:pPr>
        </w:p>
        <w:p w14:paraId="1307826E" w14:textId="77777777" w:rsidR="00FE28E5" w:rsidRPr="003067F0" w:rsidRDefault="00FE28E5" w:rsidP="00FE28E5">
          <w:pPr>
            <w:spacing w:line="240" w:lineRule="auto"/>
            <w:ind w:firstLine="0"/>
            <w:rPr>
              <w:rFonts w:cstheme="minorHAnsi"/>
            </w:rPr>
          </w:pPr>
          <w:r w:rsidRPr="003067F0">
            <w:rPr>
              <w:rFonts w:cstheme="minorHAnsi"/>
            </w:rPr>
            <w:t xml:space="preserve">Gayler, R., Sanyal, D., Pugh, R. and S. King.  (2015).  Best Practice Validation and Comparison </w:t>
          </w:r>
        </w:p>
        <w:p w14:paraId="22236C23" w14:textId="77777777" w:rsidR="00FE28E5" w:rsidRPr="003067F0" w:rsidRDefault="00FE28E5" w:rsidP="00FE28E5">
          <w:pPr>
            <w:spacing w:line="240" w:lineRule="auto"/>
            <w:ind w:left="720" w:firstLine="0"/>
            <w:rPr>
              <w:rStyle w:val="Hyperlink"/>
              <w:rFonts w:cstheme="minorHAnsi"/>
              <w:u w:val="none"/>
            </w:rPr>
          </w:pPr>
          <w:r w:rsidRPr="003067F0">
            <w:rPr>
              <w:rFonts w:cstheme="minorHAnsi"/>
            </w:rPr>
            <w:lastRenderedPageBreak/>
            <w:t xml:space="preserve">for Automated Valuation Models (AVMs). 22 pages.  Found at </w:t>
          </w:r>
          <w:hyperlink r:id="rId20" w:history="1">
            <w:r w:rsidRPr="003067F0">
              <w:rPr>
                <w:rStyle w:val="Hyperlink"/>
                <w:rFonts w:cstheme="minorHAnsi"/>
              </w:rPr>
              <w:t>www.corelogic.com.au/sites/default/files/2018-03/20151028-CL-RP_AVM.pdf</w:t>
            </w:r>
          </w:hyperlink>
          <w:r w:rsidRPr="003067F0">
            <w:rPr>
              <w:rStyle w:val="Hyperlink"/>
              <w:rFonts w:cstheme="minorHAnsi"/>
              <w:u w:val="none"/>
            </w:rPr>
            <w:t xml:space="preserve"> .</w:t>
          </w:r>
        </w:p>
        <w:p w14:paraId="66064800" w14:textId="0C0EF0DA" w:rsidR="00FE28E5" w:rsidRPr="003067F0" w:rsidRDefault="00FE28E5" w:rsidP="00E91B5A">
          <w:pPr>
            <w:pStyle w:val="FootnoteText"/>
            <w:ind w:firstLine="0"/>
            <w:rPr>
              <w:rFonts w:cstheme="minorHAnsi"/>
              <w:sz w:val="24"/>
              <w:szCs w:val="24"/>
            </w:rPr>
          </w:pPr>
        </w:p>
        <w:p w14:paraId="18267AB0" w14:textId="77777777" w:rsidR="006B784F" w:rsidRPr="003067F0" w:rsidRDefault="006B784F" w:rsidP="006B784F">
          <w:pPr>
            <w:spacing w:line="240" w:lineRule="auto"/>
            <w:ind w:firstLine="0"/>
            <w:rPr>
              <w:rStyle w:val="Hyperlink"/>
              <w:rFonts w:cstheme="minorHAnsi"/>
              <w:color w:val="auto"/>
              <w:u w:val="none"/>
            </w:rPr>
          </w:pPr>
          <w:r w:rsidRPr="003067F0">
            <w:rPr>
              <w:rStyle w:val="Hyperlink"/>
              <w:rFonts w:cstheme="minorHAnsi"/>
              <w:color w:val="auto"/>
              <w:u w:val="none"/>
            </w:rPr>
            <w:t xml:space="preserve">Gordon, D. (2005). Metrics Matter.  Found at </w:t>
          </w:r>
        </w:p>
        <w:p w14:paraId="557582C4" w14:textId="7B072E2B" w:rsidR="006B784F" w:rsidRPr="001315F3" w:rsidRDefault="008C7EE9" w:rsidP="001315F3">
          <w:pPr>
            <w:spacing w:line="240" w:lineRule="auto"/>
            <w:rPr>
              <w:rFonts w:cstheme="minorHAnsi"/>
              <w:color w:val="auto"/>
            </w:rPr>
          </w:pPr>
          <w:hyperlink r:id="rId21" w:history="1">
            <w:r w:rsidR="006B784F" w:rsidRPr="003067F0">
              <w:rPr>
                <w:rStyle w:val="Hyperlink"/>
                <w:rFonts w:cstheme="minorHAnsi"/>
              </w:rPr>
              <w:t>www.freddiemac.com/hve/pdf/dougwhitepaper_metricsmatter.pdf</w:t>
            </w:r>
          </w:hyperlink>
          <w:r w:rsidR="006B784F" w:rsidRPr="003067F0">
            <w:rPr>
              <w:rStyle w:val="Hyperlink"/>
              <w:rFonts w:cstheme="minorHAnsi"/>
              <w:color w:val="auto"/>
              <w:u w:val="none"/>
            </w:rPr>
            <w:t xml:space="preserve"> .</w:t>
          </w:r>
        </w:p>
        <w:p w14:paraId="0D08292D" w14:textId="77777777" w:rsidR="009750AE" w:rsidRPr="009750AE" w:rsidRDefault="009750AE" w:rsidP="009750AE">
          <w:pPr>
            <w:spacing w:line="240" w:lineRule="auto"/>
            <w:ind w:firstLine="0"/>
            <w:rPr>
              <w:rFonts w:ascii="Times New Roman" w:eastAsia="SimSun" w:hAnsi="Times New Roman" w:cs="Times New Roman"/>
              <w:color w:val="000000"/>
            </w:rPr>
          </w:pPr>
        </w:p>
        <w:p w14:paraId="2DF16BC9" w14:textId="70C54503" w:rsidR="009750AE" w:rsidRPr="009750AE" w:rsidRDefault="009750AE" w:rsidP="009750AE">
          <w:pPr>
            <w:spacing w:line="240" w:lineRule="auto"/>
            <w:ind w:firstLine="0"/>
            <w:rPr>
              <w:rFonts w:ascii="Times New Roman" w:eastAsia="SimSun" w:hAnsi="Times New Roman" w:cs="Times New Roman"/>
              <w:color w:val="000000"/>
            </w:rPr>
          </w:pPr>
          <w:r w:rsidRPr="009750AE">
            <w:rPr>
              <w:rFonts w:ascii="Times New Roman" w:eastAsia="SimSun" w:hAnsi="Times New Roman" w:cs="Times New Roman"/>
              <w:color w:val="000000"/>
            </w:rPr>
            <w:t xml:space="preserve">International Association of Assessing Officers (IAAO).  (2013).  </w:t>
          </w:r>
          <w:r w:rsidRPr="009750AE">
            <w:rPr>
              <w:rFonts w:ascii="Times New Roman" w:eastAsia="SimSun" w:hAnsi="Times New Roman" w:cs="Times New Roman"/>
              <w:i/>
              <w:color w:val="000000"/>
            </w:rPr>
            <w:t>Standard on Ratio Studies</w:t>
          </w:r>
          <w:r w:rsidRPr="009750AE">
            <w:rPr>
              <w:rFonts w:ascii="Times New Roman" w:eastAsia="SimSun" w:hAnsi="Times New Roman" w:cs="Times New Roman"/>
              <w:color w:val="000000"/>
            </w:rPr>
            <w:t xml:space="preserve">, </w:t>
          </w:r>
          <w:r w:rsidRPr="009750AE">
            <w:rPr>
              <w:rFonts w:ascii="Times New Roman" w:eastAsia="SimSun" w:hAnsi="Times New Roman" w:cs="Times New Roman"/>
              <w:color w:val="000000"/>
            </w:rPr>
            <w:tab/>
            <w:t>Kansas City, MO. 63 pages. Found at</w:t>
          </w:r>
        </w:p>
        <w:p w14:paraId="21C0DCE2" w14:textId="77777777" w:rsidR="009750AE" w:rsidRPr="009750AE" w:rsidRDefault="009750AE" w:rsidP="009750AE">
          <w:pPr>
            <w:spacing w:line="240" w:lineRule="auto"/>
            <w:ind w:firstLine="0"/>
            <w:rPr>
              <w:rFonts w:ascii="Times New Roman" w:eastAsia="SimSun" w:hAnsi="Times New Roman" w:cs="Times New Roman"/>
              <w:color w:val="000000"/>
            </w:rPr>
          </w:pPr>
          <w:r w:rsidRPr="009750AE">
            <w:rPr>
              <w:rFonts w:ascii="Times New Roman" w:eastAsia="SimSun" w:hAnsi="Times New Roman" w:cs="Times New Roman"/>
              <w:color w:val="000000"/>
            </w:rPr>
            <w:tab/>
          </w:r>
          <w:hyperlink r:id="rId22" w:history="1">
            <w:r w:rsidRPr="009750AE">
              <w:rPr>
                <w:rFonts w:ascii="Times New Roman" w:eastAsia="SimSun" w:hAnsi="Times New Roman" w:cs="Times New Roman"/>
                <w:color w:val="0563C1"/>
                <w:u w:val="single"/>
              </w:rPr>
              <w:t>www.iaao.org/media/standards/Standard_on_Ratio_Studies.pdf</w:t>
            </w:r>
          </w:hyperlink>
          <w:r w:rsidRPr="009750AE">
            <w:rPr>
              <w:rFonts w:ascii="Times New Roman" w:eastAsia="SimSun" w:hAnsi="Times New Roman" w:cs="Times New Roman"/>
              <w:color w:val="000000"/>
            </w:rPr>
            <w:t xml:space="preserve"> .</w:t>
          </w:r>
        </w:p>
        <w:p w14:paraId="7EE67BED" w14:textId="77777777" w:rsidR="009750AE" w:rsidRPr="009750AE" w:rsidRDefault="009750AE" w:rsidP="009750AE">
          <w:pPr>
            <w:spacing w:line="240" w:lineRule="auto"/>
            <w:ind w:firstLine="0"/>
            <w:rPr>
              <w:rFonts w:ascii="Times New Roman" w:eastAsia="SimSun" w:hAnsi="Times New Roman" w:cs="Times New Roman"/>
              <w:color w:val="000000"/>
            </w:rPr>
          </w:pPr>
        </w:p>
        <w:p w14:paraId="6B2D2B48" w14:textId="77777777" w:rsidR="009750AE" w:rsidRPr="009750AE" w:rsidRDefault="009750AE" w:rsidP="009750AE">
          <w:pPr>
            <w:spacing w:line="240" w:lineRule="auto"/>
            <w:ind w:firstLine="0"/>
            <w:rPr>
              <w:rFonts w:ascii="Times New Roman" w:eastAsia="SimSun" w:hAnsi="Times New Roman" w:cs="Times New Roman"/>
              <w:i/>
              <w:color w:val="000000"/>
            </w:rPr>
          </w:pPr>
          <w:r w:rsidRPr="009750AE">
            <w:rPr>
              <w:rFonts w:ascii="Times New Roman" w:eastAsia="SimSun" w:hAnsi="Times New Roman" w:cs="Times New Roman"/>
              <w:color w:val="000000"/>
            </w:rPr>
            <w:t xml:space="preserve">International Association of Assessing Officers (IAAO).  (2018).  </w:t>
          </w:r>
          <w:r w:rsidRPr="009750AE">
            <w:rPr>
              <w:rFonts w:ascii="Times New Roman" w:eastAsia="SimSun" w:hAnsi="Times New Roman" w:cs="Times New Roman"/>
              <w:i/>
              <w:color w:val="000000"/>
            </w:rPr>
            <w:t xml:space="preserve">Standard on Automated </w:t>
          </w:r>
        </w:p>
        <w:p w14:paraId="3EE2507C" w14:textId="77777777" w:rsidR="009750AE" w:rsidRPr="009750AE" w:rsidRDefault="009750AE" w:rsidP="009750AE">
          <w:pPr>
            <w:spacing w:line="240" w:lineRule="auto"/>
            <w:ind w:firstLine="0"/>
            <w:rPr>
              <w:rFonts w:ascii="Times New Roman" w:eastAsia="SimSun" w:hAnsi="Times New Roman" w:cs="Times New Roman"/>
              <w:color w:val="000000"/>
            </w:rPr>
          </w:pPr>
          <w:r w:rsidRPr="009750AE">
            <w:rPr>
              <w:rFonts w:ascii="Times New Roman" w:eastAsia="SimSun" w:hAnsi="Times New Roman" w:cs="Times New Roman"/>
              <w:i/>
              <w:color w:val="000000"/>
            </w:rPr>
            <w:tab/>
            <w:t>Valuation Models (AVMs)</w:t>
          </w:r>
          <w:r w:rsidRPr="009750AE">
            <w:rPr>
              <w:rFonts w:ascii="Times New Roman" w:eastAsia="SimSun" w:hAnsi="Times New Roman" w:cs="Times New Roman"/>
              <w:color w:val="000000"/>
            </w:rPr>
            <w:t xml:space="preserve">, Kansas City, MO. 35 pages. </w:t>
          </w:r>
          <w:r w:rsidRPr="009750AE">
            <w:rPr>
              <w:rFonts w:ascii="Times New Roman" w:eastAsia="SimSun" w:hAnsi="Times New Roman" w:cs="Times New Roman"/>
              <w:color w:val="000000"/>
            </w:rPr>
            <w:tab/>
          </w:r>
          <w:hyperlink r:id="rId23" w:history="1">
            <w:r w:rsidRPr="009750AE">
              <w:rPr>
                <w:rFonts w:ascii="Times New Roman" w:eastAsia="SimSun" w:hAnsi="Times New Roman" w:cs="Times New Roman"/>
                <w:color w:val="0563C1"/>
                <w:u w:val="single"/>
              </w:rPr>
              <w:t>www.iaao.org/media/standards/AVM_STANDARD_2018.pdf</w:t>
            </w:r>
          </w:hyperlink>
          <w:r w:rsidRPr="009750AE">
            <w:rPr>
              <w:rFonts w:ascii="Times New Roman" w:eastAsia="SimSun" w:hAnsi="Times New Roman" w:cs="Times New Roman"/>
              <w:color w:val="000000"/>
            </w:rPr>
            <w:t xml:space="preserve"> .</w:t>
          </w:r>
        </w:p>
        <w:p w14:paraId="0B366B1C" w14:textId="77777777" w:rsidR="009750AE" w:rsidRPr="009750AE" w:rsidRDefault="009750AE" w:rsidP="009750AE">
          <w:pPr>
            <w:spacing w:line="240" w:lineRule="auto"/>
            <w:ind w:firstLine="0"/>
            <w:rPr>
              <w:rFonts w:ascii="Times New Roman" w:eastAsia="SimSun" w:hAnsi="Times New Roman" w:cs="Times New Roman"/>
              <w:color w:val="000000"/>
            </w:rPr>
          </w:pPr>
        </w:p>
        <w:p w14:paraId="41B7BE47" w14:textId="77777777" w:rsidR="009750AE" w:rsidRPr="009750AE" w:rsidRDefault="009750AE" w:rsidP="009750AE">
          <w:pPr>
            <w:spacing w:line="240" w:lineRule="auto"/>
            <w:ind w:firstLine="0"/>
            <w:rPr>
              <w:rFonts w:ascii="Times New Roman" w:eastAsia="SimSun" w:hAnsi="Times New Roman" w:cs="Times New Roman"/>
              <w:color w:val="000000"/>
            </w:rPr>
          </w:pPr>
          <w:r w:rsidRPr="009750AE">
            <w:rPr>
              <w:rFonts w:ascii="Times New Roman" w:eastAsia="SimSun" w:hAnsi="Times New Roman" w:cs="Times New Roman"/>
              <w:color w:val="000000"/>
            </w:rPr>
            <w:t>International Association of Assessing Officers (IAAO).  (2020).</w:t>
          </w:r>
          <w:r w:rsidRPr="009750AE">
            <w:rPr>
              <w:rFonts w:ascii="Times New Roman" w:eastAsia="SimSun" w:hAnsi="Times New Roman" w:cs="Times New Roman"/>
              <w:i/>
              <w:color w:val="000000"/>
            </w:rPr>
            <w:t xml:space="preserve">  Standard on Verification and </w:t>
          </w:r>
          <w:r w:rsidRPr="009750AE">
            <w:rPr>
              <w:rFonts w:ascii="Times New Roman" w:eastAsia="SimSun" w:hAnsi="Times New Roman" w:cs="Times New Roman"/>
              <w:i/>
              <w:color w:val="000000"/>
            </w:rPr>
            <w:tab/>
            <w:t>Adjustment of Sales</w:t>
          </w:r>
          <w:r w:rsidRPr="009750AE">
            <w:rPr>
              <w:rFonts w:ascii="Times New Roman" w:eastAsia="SimSun" w:hAnsi="Times New Roman" w:cs="Times New Roman"/>
              <w:color w:val="000000"/>
            </w:rPr>
            <w:t xml:space="preserve">. Kansas City, MO. 59 pages. Found at </w:t>
          </w:r>
          <w:r w:rsidRPr="009750AE">
            <w:rPr>
              <w:rFonts w:ascii="Times New Roman" w:eastAsia="SimSun" w:hAnsi="Times New Roman" w:cs="Times New Roman"/>
              <w:color w:val="000000"/>
            </w:rPr>
            <w:tab/>
          </w:r>
          <w:hyperlink r:id="rId24" w:history="1">
            <w:r w:rsidRPr="009750AE">
              <w:rPr>
                <w:rFonts w:ascii="Times New Roman" w:eastAsia="SimSun" w:hAnsi="Times New Roman" w:cs="Times New Roman"/>
                <w:color w:val="0563C1"/>
                <w:u w:val="single"/>
              </w:rPr>
              <w:t>www.iaao.org/media/standards/Verification_Adjustment_of_Sales.pdf</w:t>
            </w:r>
          </w:hyperlink>
          <w:r w:rsidRPr="009750AE">
            <w:rPr>
              <w:rFonts w:ascii="Times New Roman" w:eastAsia="SimSun" w:hAnsi="Times New Roman" w:cs="Times New Roman"/>
              <w:color w:val="000000"/>
            </w:rPr>
            <w:t xml:space="preserve"> .</w:t>
          </w:r>
        </w:p>
        <w:p w14:paraId="1E23ECB7" w14:textId="77777777" w:rsidR="009750AE" w:rsidRDefault="009750AE" w:rsidP="002D6A14">
          <w:pPr>
            <w:spacing w:line="240" w:lineRule="auto"/>
            <w:ind w:firstLine="0"/>
            <w:rPr>
              <w:rFonts w:cstheme="minorHAnsi"/>
            </w:rPr>
          </w:pPr>
        </w:p>
        <w:p w14:paraId="4629801B" w14:textId="79B133FA" w:rsidR="00E82DE7" w:rsidRPr="003067F0" w:rsidRDefault="00E82DE7" w:rsidP="002D6A14">
          <w:pPr>
            <w:spacing w:line="240" w:lineRule="auto"/>
            <w:ind w:firstLine="0"/>
            <w:rPr>
              <w:rFonts w:cstheme="minorHAnsi"/>
            </w:rPr>
          </w:pPr>
          <w:r w:rsidRPr="003067F0">
            <w:rPr>
              <w:rFonts w:cstheme="minorHAnsi"/>
            </w:rPr>
            <w:t>Interagency Appraisal and Evaluation Guidelines</w:t>
          </w:r>
          <w:r w:rsidRPr="003067F0">
            <w:rPr>
              <w:rFonts w:cstheme="minorHAnsi"/>
              <w:i/>
            </w:rPr>
            <w:t>.</w:t>
          </w:r>
          <w:r w:rsidRPr="003067F0">
            <w:rPr>
              <w:rFonts w:cstheme="minorHAnsi"/>
            </w:rPr>
            <w:t xml:space="preserve"> (2010). </w:t>
          </w:r>
          <w:r w:rsidR="00B710E4" w:rsidRPr="003067F0">
            <w:rPr>
              <w:rFonts w:cstheme="minorHAnsi"/>
            </w:rPr>
            <w:t xml:space="preserve"> OCC-2010-0012.  </w:t>
          </w:r>
          <w:r w:rsidR="00F504A0">
            <w:rPr>
              <w:rFonts w:cstheme="minorHAnsi"/>
            </w:rPr>
            <w:t>Found</w:t>
          </w:r>
          <w:r w:rsidRPr="003067F0">
            <w:rPr>
              <w:rFonts w:cstheme="minorHAnsi"/>
            </w:rPr>
            <w:t xml:space="preserve"> at</w:t>
          </w:r>
          <w:r w:rsidR="00B710E4" w:rsidRPr="003067F0">
            <w:rPr>
              <w:rFonts w:cstheme="minorHAnsi"/>
            </w:rPr>
            <w:t>:</w:t>
          </w:r>
        </w:p>
        <w:p w14:paraId="2346E92A" w14:textId="31F65E52" w:rsidR="005242D5" w:rsidRPr="003067F0" w:rsidRDefault="008C7EE9" w:rsidP="002D6A14">
          <w:pPr>
            <w:spacing w:line="240" w:lineRule="auto"/>
            <w:ind w:left="720" w:firstLine="0"/>
            <w:rPr>
              <w:rFonts w:cstheme="minorHAnsi"/>
            </w:rPr>
          </w:pPr>
          <w:hyperlink r:id="rId25" w:history="1">
            <w:r w:rsidR="002B3C9E" w:rsidRPr="003067F0">
              <w:rPr>
                <w:rStyle w:val="Hyperlink"/>
                <w:rFonts w:cstheme="minorHAnsi"/>
              </w:rPr>
              <w:t>www.federalregister.gov/documents/2010/12/10/2010-30913/interagency-appraisal-and-evaluation-guidelines</w:t>
            </w:r>
          </w:hyperlink>
          <w:r w:rsidR="00E82DE7" w:rsidRPr="003067F0">
            <w:rPr>
              <w:rFonts w:cstheme="minorHAnsi"/>
            </w:rPr>
            <w:t xml:space="preserve"> .</w:t>
          </w:r>
          <w:r w:rsidR="002B3C9E" w:rsidRPr="003067F0">
            <w:rPr>
              <w:rFonts w:cstheme="minorHAnsi"/>
            </w:rPr>
            <w:t xml:space="preserve">  </w:t>
          </w:r>
        </w:p>
        <w:p w14:paraId="28B13B3C" w14:textId="77777777" w:rsidR="005242D5" w:rsidRPr="003067F0" w:rsidRDefault="005242D5" w:rsidP="002D6A14">
          <w:pPr>
            <w:pStyle w:val="FootnoteText"/>
            <w:ind w:firstLine="0"/>
            <w:rPr>
              <w:rFonts w:cstheme="minorHAnsi"/>
              <w:sz w:val="24"/>
              <w:szCs w:val="24"/>
            </w:rPr>
          </w:pPr>
        </w:p>
        <w:p w14:paraId="60FD32C7" w14:textId="77777777" w:rsidR="00FF4AFC" w:rsidRPr="00FF4AFC" w:rsidRDefault="00FF4AFC" w:rsidP="00FF4AFC">
          <w:pPr>
            <w:spacing w:line="240" w:lineRule="auto"/>
            <w:ind w:firstLine="0"/>
            <w:rPr>
              <w:rFonts w:ascii="Times New Roman" w:eastAsia="SimSun" w:hAnsi="Times New Roman" w:cs="Times New Roman"/>
              <w:color w:val="000000"/>
            </w:rPr>
          </w:pPr>
          <w:r w:rsidRPr="00FF4AFC">
            <w:rPr>
              <w:rFonts w:ascii="Times New Roman" w:eastAsia="SimSun" w:hAnsi="Times New Roman" w:cs="Times New Roman"/>
              <w:color w:val="000000"/>
            </w:rPr>
            <w:t xml:space="preserve">Isakson, H. R., Ecker, M. D. and L. Kennedy.  (2020).  Principles for Calculating AVM </w:t>
          </w:r>
        </w:p>
        <w:p w14:paraId="6C91F5E6" w14:textId="77777777" w:rsidR="00FF4AFC" w:rsidRPr="00FF4AFC" w:rsidRDefault="00FF4AFC" w:rsidP="00FF4AFC">
          <w:pPr>
            <w:spacing w:after="160" w:line="240" w:lineRule="auto"/>
            <w:ind w:left="720" w:firstLine="0"/>
            <w:rPr>
              <w:rFonts w:ascii="Times New Roman" w:eastAsia="SimSun" w:hAnsi="Times New Roman" w:cs="Times New Roman"/>
              <w:color w:val="000000"/>
            </w:rPr>
          </w:pPr>
          <w:r w:rsidRPr="00FF4AFC">
            <w:rPr>
              <w:rFonts w:ascii="Times New Roman" w:eastAsia="SimSun" w:hAnsi="Times New Roman" w:cs="Times New Roman"/>
              <w:color w:val="000000"/>
            </w:rPr>
            <w:t xml:space="preserve">Performance Metrics.  </w:t>
          </w:r>
          <w:r w:rsidRPr="00FF4AFC">
            <w:rPr>
              <w:rFonts w:ascii="Times New Roman" w:eastAsia="SimSun" w:hAnsi="Times New Roman" w:cs="Times New Roman"/>
              <w:i/>
              <w:iCs/>
              <w:color w:val="000000"/>
            </w:rPr>
            <w:t>The Appraisal Journal</w:t>
          </w:r>
          <w:r w:rsidRPr="00FF4AFC">
            <w:rPr>
              <w:rFonts w:ascii="Times New Roman" w:eastAsia="SimSun" w:hAnsi="Times New Roman" w:cs="Times New Roman"/>
              <w:color w:val="000000"/>
            </w:rPr>
            <w:t xml:space="preserve">. </w:t>
          </w:r>
          <w:r w:rsidRPr="00FF4AFC">
            <w:rPr>
              <w:rFonts w:ascii="Times New Roman" w:eastAsia="Calibri" w:hAnsi="Times New Roman" w:cs="Times New Roman"/>
              <w:b/>
              <w:color w:val="auto"/>
              <w:lang w:eastAsia="en-US"/>
            </w:rPr>
            <w:t xml:space="preserve"> 88 </w:t>
          </w:r>
          <w:r w:rsidRPr="00FF4AFC">
            <w:rPr>
              <w:rFonts w:ascii="Times New Roman" w:eastAsia="Calibri" w:hAnsi="Times New Roman" w:cs="Times New Roman"/>
              <w:color w:val="auto"/>
              <w:lang w:eastAsia="en-US"/>
            </w:rPr>
            <w:t>(1), pp. 14–29.</w:t>
          </w:r>
        </w:p>
        <w:p w14:paraId="7384AE55" w14:textId="57FE46C8" w:rsidR="002E6F3F" w:rsidRPr="003067F0" w:rsidRDefault="002E6F3F" w:rsidP="002D6A14">
          <w:pPr>
            <w:spacing w:line="240" w:lineRule="auto"/>
            <w:ind w:firstLine="0"/>
            <w:rPr>
              <w:rFonts w:cstheme="minorHAnsi"/>
            </w:rPr>
          </w:pPr>
          <w:r w:rsidRPr="003067F0">
            <w:rPr>
              <w:rFonts w:cstheme="minorHAnsi"/>
              <w:lang w:val="en"/>
            </w:rPr>
            <w:t>Johnson R.A. and D. W. Wichern. (2007</w:t>
          </w:r>
          <w:r w:rsidRPr="003067F0">
            <w:rPr>
              <w:rFonts w:cstheme="minorHAnsi"/>
            </w:rPr>
            <w:t>).  Applied Multivariate Statistical Analysis, 6</w:t>
          </w:r>
          <w:r w:rsidRPr="003067F0">
            <w:rPr>
              <w:rFonts w:cstheme="minorHAnsi"/>
              <w:vertAlign w:val="superscript"/>
            </w:rPr>
            <w:t>th</w:t>
          </w:r>
          <w:r w:rsidRPr="003067F0">
            <w:rPr>
              <w:rFonts w:cstheme="minorHAnsi"/>
            </w:rPr>
            <w:t xml:space="preserve"> edition. </w:t>
          </w:r>
        </w:p>
        <w:p w14:paraId="2A21F36F" w14:textId="4C1234E3" w:rsidR="002E6F3F" w:rsidRPr="003067F0" w:rsidRDefault="002E6F3F" w:rsidP="002D6A14">
          <w:pPr>
            <w:spacing w:line="240" w:lineRule="auto"/>
            <w:rPr>
              <w:rFonts w:cstheme="minorHAnsi"/>
            </w:rPr>
          </w:pPr>
          <w:r w:rsidRPr="003067F0">
            <w:rPr>
              <w:rFonts w:cstheme="minorHAnsi"/>
            </w:rPr>
            <w:t>Pearson Prentice Hall.  773 pages.</w:t>
          </w:r>
        </w:p>
        <w:p w14:paraId="718B374C" w14:textId="04D542DE" w:rsidR="00451FEC" w:rsidRPr="003067F0" w:rsidRDefault="00451FEC" w:rsidP="002D6A14">
          <w:pPr>
            <w:spacing w:line="240" w:lineRule="auto"/>
            <w:ind w:firstLine="0"/>
            <w:rPr>
              <w:rFonts w:cstheme="minorHAnsi"/>
            </w:rPr>
          </w:pPr>
        </w:p>
        <w:p w14:paraId="65C3CCD1" w14:textId="77777777" w:rsidR="003E5AFA" w:rsidRPr="003067F0" w:rsidRDefault="003E5AFA" w:rsidP="003E5AFA">
          <w:pPr>
            <w:pStyle w:val="Bibliography"/>
            <w:spacing w:line="240" w:lineRule="auto"/>
            <w:rPr>
              <w:rFonts w:cstheme="minorHAnsi"/>
            </w:rPr>
          </w:pPr>
          <w:r w:rsidRPr="003067F0">
            <w:rPr>
              <w:rFonts w:cstheme="minorHAnsi"/>
            </w:rPr>
            <w:t>Kirchmeyer, J. (2004). A Guide to Automated Valuation Models AVMs: 101.  Real Info,</w:t>
          </w:r>
        </w:p>
        <w:p w14:paraId="2395600B" w14:textId="77777777" w:rsidR="003E5AFA" w:rsidRPr="003067F0" w:rsidRDefault="003E5AFA" w:rsidP="003E5AFA">
          <w:pPr>
            <w:pStyle w:val="Bibliography"/>
            <w:spacing w:line="240" w:lineRule="auto"/>
            <w:ind w:left="0" w:firstLine="720"/>
            <w:rPr>
              <w:rFonts w:cstheme="minorHAnsi"/>
              <w:color w:val="5F5F5F" w:themeColor="hyperlink"/>
              <w:u w:val="single"/>
            </w:rPr>
          </w:pPr>
          <w:r w:rsidRPr="003067F0">
            <w:rPr>
              <w:rFonts w:cstheme="minorHAnsi"/>
            </w:rPr>
            <w:t>Kirchmeyer &amp; Assoc.  38 pages.</w:t>
          </w:r>
        </w:p>
        <w:p w14:paraId="0682DF79" w14:textId="77777777" w:rsidR="003E5AFA" w:rsidRPr="003067F0" w:rsidRDefault="003E5AFA" w:rsidP="0061342C">
          <w:pPr>
            <w:pStyle w:val="Bibliography"/>
            <w:spacing w:line="240" w:lineRule="auto"/>
            <w:rPr>
              <w:rFonts w:cstheme="minorHAnsi"/>
            </w:rPr>
          </w:pPr>
        </w:p>
        <w:p w14:paraId="18293437" w14:textId="637B268D" w:rsidR="0061342C" w:rsidRPr="003067F0" w:rsidRDefault="0061342C" w:rsidP="0061342C">
          <w:pPr>
            <w:pStyle w:val="Bibliography"/>
            <w:spacing w:line="240" w:lineRule="auto"/>
            <w:rPr>
              <w:rFonts w:cstheme="minorHAnsi"/>
              <w:color w:val="5F5F5F" w:themeColor="hyperlink"/>
              <w:u w:val="single"/>
            </w:rPr>
          </w:pPr>
          <w:r w:rsidRPr="003067F0">
            <w:rPr>
              <w:rFonts w:cstheme="minorHAnsi"/>
            </w:rPr>
            <w:t>Kirchmeyer, J. and P. Staas.  (2008).  AVMs 201: A Practical Guide to the Implementation of Automated Valuation Models.  273 pages.</w:t>
          </w:r>
        </w:p>
        <w:p w14:paraId="041441B3" w14:textId="77777777" w:rsidR="0061342C" w:rsidRPr="003067F0" w:rsidRDefault="0061342C" w:rsidP="002D6A14">
          <w:pPr>
            <w:spacing w:line="240" w:lineRule="auto"/>
            <w:ind w:firstLine="0"/>
            <w:rPr>
              <w:rFonts w:cstheme="minorHAnsi"/>
            </w:rPr>
          </w:pPr>
        </w:p>
        <w:p w14:paraId="06888570" w14:textId="4B9DE984" w:rsidR="00F26A84" w:rsidRPr="003067F0" w:rsidRDefault="00F26A84" w:rsidP="002D6A14">
          <w:pPr>
            <w:spacing w:line="240" w:lineRule="auto"/>
            <w:ind w:firstLine="0"/>
            <w:rPr>
              <w:rFonts w:cstheme="minorHAnsi"/>
            </w:rPr>
          </w:pPr>
          <w:r w:rsidRPr="003067F0">
            <w:rPr>
              <w:rFonts w:cstheme="minorHAnsi"/>
            </w:rPr>
            <w:t>Long, T.  (2010).  Interagency Appraisal and Evaluation Guidelines</w:t>
          </w:r>
          <w:r w:rsidR="00320C7D" w:rsidRPr="003067F0">
            <w:rPr>
              <w:rFonts w:cstheme="minorHAnsi"/>
            </w:rPr>
            <w:t>.</w:t>
          </w:r>
          <w:r w:rsidRPr="003067F0">
            <w:rPr>
              <w:rFonts w:cstheme="minorHAnsi"/>
            </w:rPr>
            <w:t xml:space="preserve"> OCC 2010-42. Available at:</w:t>
          </w:r>
        </w:p>
        <w:p w14:paraId="069CB5DC" w14:textId="63555AA4" w:rsidR="00F26A84" w:rsidRPr="003067F0" w:rsidRDefault="00F26A84" w:rsidP="002D6A14">
          <w:pPr>
            <w:spacing w:line="240" w:lineRule="auto"/>
            <w:ind w:firstLine="0"/>
            <w:rPr>
              <w:rFonts w:cstheme="minorHAnsi"/>
            </w:rPr>
          </w:pPr>
          <w:r w:rsidRPr="003067F0">
            <w:rPr>
              <w:rFonts w:cstheme="minorHAnsi"/>
            </w:rPr>
            <w:tab/>
          </w:r>
          <w:hyperlink r:id="rId26" w:history="1">
            <w:r w:rsidRPr="003067F0">
              <w:rPr>
                <w:rStyle w:val="Hyperlink"/>
                <w:rFonts w:cstheme="minorHAnsi"/>
              </w:rPr>
              <w:t>https://www.occ.gov/news-issuances/bulletins/2010/bulletin-2010-42.html</w:t>
            </w:r>
          </w:hyperlink>
          <w:r w:rsidRPr="003067F0">
            <w:rPr>
              <w:rFonts w:cstheme="minorHAnsi"/>
            </w:rPr>
            <w:t xml:space="preserve"> .</w:t>
          </w:r>
        </w:p>
        <w:p w14:paraId="5C833F43" w14:textId="77777777" w:rsidR="00966707" w:rsidRPr="003067F0" w:rsidRDefault="00966707" w:rsidP="002D6A14">
          <w:pPr>
            <w:spacing w:line="240" w:lineRule="auto"/>
            <w:ind w:firstLine="0"/>
            <w:rPr>
              <w:rFonts w:cstheme="minorHAnsi"/>
            </w:rPr>
          </w:pPr>
        </w:p>
        <w:p w14:paraId="49145CFA" w14:textId="7EB27DE3" w:rsidR="00966707" w:rsidRPr="003067F0" w:rsidRDefault="00966707" w:rsidP="00966707">
          <w:pPr>
            <w:spacing w:line="240" w:lineRule="auto"/>
            <w:ind w:left="720" w:hanging="720"/>
            <w:rPr>
              <w:rFonts w:cstheme="minorHAnsi"/>
            </w:rPr>
          </w:pPr>
          <w:r w:rsidRPr="003067F0">
            <w:rPr>
              <w:rFonts w:cstheme="minorHAnsi"/>
            </w:rPr>
            <w:t xml:space="preserve">Mortgage Bankers Association (MBA). (2019). The State of Automated Valuation Models </w:t>
          </w:r>
        </w:p>
        <w:p w14:paraId="7E316C4A" w14:textId="321EC695" w:rsidR="00966707" w:rsidRPr="003067F0" w:rsidRDefault="00966707" w:rsidP="00966707">
          <w:pPr>
            <w:spacing w:line="240" w:lineRule="auto"/>
            <w:ind w:left="720" w:firstLine="0"/>
            <w:rPr>
              <w:rFonts w:cstheme="minorHAnsi"/>
            </w:rPr>
          </w:pPr>
          <w:r w:rsidRPr="003067F0">
            <w:rPr>
              <w:rFonts w:cstheme="minorHAnsi"/>
            </w:rPr>
            <w:t xml:space="preserve">in the Age of Big Data.  Found at </w:t>
          </w:r>
          <w:hyperlink r:id="rId27" w:history="1">
            <w:r w:rsidRPr="003067F0">
              <w:rPr>
                <w:rStyle w:val="Hyperlink"/>
                <w:rFonts w:cstheme="minorHAnsi"/>
              </w:rPr>
              <w:t>www.mba.org/Documents/MBA_Real_Estate_Appraisals_(0).pdf</w:t>
            </w:r>
          </w:hyperlink>
          <w:r w:rsidRPr="003067F0">
            <w:rPr>
              <w:rFonts w:cstheme="minorHAnsi"/>
            </w:rPr>
            <w:t xml:space="preserve"> .</w:t>
          </w:r>
        </w:p>
        <w:p w14:paraId="60D6B19E" w14:textId="77777777" w:rsidR="00F26A84" w:rsidRPr="003067F0" w:rsidRDefault="00F26A84" w:rsidP="002D6A14">
          <w:pPr>
            <w:spacing w:line="240" w:lineRule="auto"/>
            <w:ind w:firstLine="0"/>
            <w:rPr>
              <w:rFonts w:cstheme="minorHAnsi"/>
            </w:rPr>
          </w:pPr>
        </w:p>
        <w:p w14:paraId="2872855D" w14:textId="77777777" w:rsidR="002B3C9E" w:rsidRPr="003067F0" w:rsidRDefault="00B1038F" w:rsidP="00DF7FA6">
          <w:pPr>
            <w:spacing w:line="240" w:lineRule="auto"/>
            <w:ind w:firstLine="0"/>
            <w:rPr>
              <w:rFonts w:cstheme="minorHAnsi"/>
            </w:rPr>
          </w:pPr>
          <w:r w:rsidRPr="003067F0">
            <w:rPr>
              <w:rFonts w:cstheme="minorHAnsi"/>
            </w:rPr>
            <w:t xml:space="preserve">Ott, R. L. and M. Longnecker.  (2016).  An Introduction to Statistical Methods &amp; Data Analysis. </w:t>
          </w:r>
        </w:p>
        <w:p w14:paraId="5411A1E1" w14:textId="1F10791C" w:rsidR="00CC312F" w:rsidRPr="00F9660A" w:rsidRDefault="002B3C9E" w:rsidP="00F9660A">
          <w:pPr>
            <w:spacing w:line="240" w:lineRule="auto"/>
            <w:ind w:firstLine="0"/>
            <w:rPr>
              <w:rFonts w:cstheme="minorHAnsi"/>
            </w:rPr>
          </w:pPr>
          <w:r w:rsidRPr="003067F0">
            <w:rPr>
              <w:rFonts w:cstheme="minorHAnsi"/>
            </w:rPr>
            <w:tab/>
          </w:r>
          <w:r w:rsidR="00B1038F" w:rsidRPr="003067F0">
            <w:rPr>
              <w:rFonts w:cstheme="minorHAnsi"/>
            </w:rPr>
            <w:t xml:space="preserve">Seventh Edition.  Cengage Learning.  </w:t>
          </w:r>
          <w:r w:rsidR="00C616CB" w:rsidRPr="003067F0">
            <w:rPr>
              <w:rFonts w:cstheme="minorHAnsi"/>
            </w:rPr>
            <w:t xml:space="preserve"> 1,173 pages.</w:t>
          </w:r>
        </w:p>
        <w:p w14:paraId="437C0EF4" w14:textId="77777777" w:rsidR="00CC312F" w:rsidRPr="0051629B" w:rsidRDefault="00CC312F" w:rsidP="00CC312F">
          <w:pPr>
            <w:spacing w:line="240" w:lineRule="auto"/>
            <w:ind w:firstLine="0"/>
            <w:rPr>
              <w:rFonts w:asciiTheme="majorHAnsi" w:hAnsiTheme="majorHAnsi" w:cstheme="majorHAnsi"/>
            </w:rPr>
          </w:pPr>
        </w:p>
        <w:p w14:paraId="2B830F0C" w14:textId="77777777" w:rsidR="00970854" w:rsidRPr="003067F0" w:rsidRDefault="00970854" w:rsidP="002D6A14">
          <w:pPr>
            <w:pStyle w:val="FootnoteText"/>
            <w:ind w:firstLine="0"/>
            <w:rPr>
              <w:rFonts w:cstheme="minorHAnsi"/>
              <w:sz w:val="24"/>
              <w:szCs w:val="24"/>
              <w:lang w:val="en"/>
            </w:rPr>
          </w:pPr>
          <w:r w:rsidRPr="003067F0">
            <w:rPr>
              <w:rFonts w:cstheme="minorHAnsi"/>
              <w:sz w:val="24"/>
              <w:szCs w:val="24"/>
              <w:lang w:val="en"/>
            </w:rPr>
            <w:t xml:space="preserve">Steurer, M. and R. Hill.  (2020).  Metrics for Measuring the Performance of Machine Learning </w:t>
          </w:r>
        </w:p>
        <w:p w14:paraId="42EC790D" w14:textId="78581ADC" w:rsidR="002B3C9E" w:rsidRPr="003067F0" w:rsidRDefault="00970854" w:rsidP="002D6A14">
          <w:pPr>
            <w:pStyle w:val="FootnoteText"/>
            <w:ind w:firstLine="0"/>
            <w:rPr>
              <w:rFonts w:cstheme="minorHAnsi"/>
              <w:sz w:val="24"/>
              <w:szCs w:val="24"/>
              <w:lang w:val="en"/>
            </w:rPr>
          </w:pPr>
          <w:r w:rsidRPr="003067F0">
            <w:rPr>
              <w:rFonts w:cstheme="minorHAnsi"/>
              <w:sz w:val="24"/>
              <w:szCs w:val="24"/>
              <w:lang w:val="en"/>
            </w:rPr>
            <w:lastRenderedPageBreak/>
            <w:tab/>
            <w:t xml:space="preserve">Prediction Models: An Application to the Housing Market.  Found at: </w:t>
          </w:r>
          <w:r w:rsidR="002B3C9E" w:rsidRPr="003067F0">
            <w:rPr>
              <w:rFonts w:cstheme="minorHAnsi"/>
              <w:sz w:val="24"/>
              <w:szCs w:val="24"/>
              <w:lang w:val="en"/>
            </w:rPr>
            <w:tab/>
          </w:r>
          <w:hyperlink r:id="rId28" w:history="1">
            <w:r w:rsidR="002B3C9E" w:rsidRPr="003067F0">
              <w:rPr>
                <w:rStyle w:val="Hyperlink"/>
                <w:rFonts w:cstheme="minorHAnsi"/>
                <w:sz w:val="24"/>
                <w:szCs w:val="24"/>
                <w:lang w:val="en"/>
              </w:rPr>
              <w:t>www.researchgate.net/publication/338992074_Metrics_for_Measuring_the_Performance</w:t>
            </w:r>
            <w:r w:rsidR="002B3C9E" w:rsidRPr="003067F0">
              <w:rPr>
                <w:rStyle w:val="Hyperlink"/>
                <w:rFonts w:cstheme="minorHAnsi"/>
                <w:sz w:val="24"/>
                <w:szCs w:val="24"/>
                <w:u w:val="none"/>
                <w:lang w:val="en"/>
              </w:rPr>
              <w:tab/>
            </w:r>
            <w:r w:rsidR="002B3C9E" w:rsidRPr="003067F0">
              <w:rPr>
                <w:rStyle w:val="Hyperlink"/>
                <w:rFonts w:cstheme="minorHAnsi"/>
                <w:sz w:val="24"/>
                <w:szCs w:val="24"/>
                <w:lang w:val="en"/>
              </w:rPr>
              <w:t>_of_Machine_Learning_Prediction_Models_An_Application_to_the_Housing_Market</w:t>
            </w:r>
          </w:hyperlink>
          <w:r w:rsidR="002B3C9E" w:rsidRPr="003067F0">
            <w:rPr>
              <w:rFonts w:cstheme="minorHAnsi"/>
              <w:sz w:val="24"/>
              <w:szCs w:val="24"/>
              <w:lang w:val="en"/>
            </w:rPr>
            <w:t xml:space="preserve"> .</w:t>
          </w:r>
        </w:p>
        <w:p w14:paraId="670B6A59" w14:textId="3BFBBF0F" w:rsidR="003067F0" w:rsidRPr="003067F0" w:rsidRDefault="003067F0" w:rsidP="002D6A14">
          <w:pPr>
            <w:pStyle w:val="FootnoteText"/>
            <w:ind w:firstLine="0"/>
            <w:rPr>
              <w:rFonts w:cstheme="minorHAnsi"/>
              <w:sz w:val="24"/>
              <w:szCs w:val="24"/>
              <w:lang w:val="en"/>
            </w:rPr>
          </w:pPr>
        </w:p>
        <w:p w14:paraId="005BF14D" w14:textId="4EA3E306" w:rsidR="003067F0" w:rsidRDefault="003067F0" w:rsidP="003067F0">
          <w:pPr>
            <w:pStyle w:val="FootnoteText"/>
            <w:ind w:left="-720"/>
            <w:rPr>
              <w:rFonts w:asciiTheme="majorHAnsi" w:hAnsiTheme="majorHAnsi" w:cstheme="majorHAnsi"/>
              <w:sz w:val="24"/>
              <w:szCs w:val="24"/>
              <w:lang w:val="en"/>
            </w:rPr>
          </w:pPr>
          <w:r w:rsidRPr="003067F0">
            <w:rPr>
              <w:rFonts w:asciiTheme="majorHAnsi" w:hAnsiTheme="majorHAnsi" w:cstheme="majorHAnsi"/>
              <w:sz w:val="24"/>
              <w:szCs w:val="24"/>
              <w:lang w:val="en"/>
            </w:rPr>
            <w:t>U</w:t>
          </w:r>
          <w:r w:rsidR="00DE70AF">
            <w:rPr>
              <w:rFonts w:asciiTheme="majorHAnsi" w:hAnsiTheme="majorHAnsi" w:cstheme="majorHAnsi"/>
              <w:sz w:val="24"/>
              <w:szCs w:val="24"/>
              <w:lang w:val="en"/>
            </w:rPr>
            <w:t>nited States</w:t>
          </w:r>
          <w:r w:rsidRPr="003067F0">
            <w:rPr>
              <w:rFonts w:asciiTheme="majorHAnsi" w:hAnsiTheme="majorHAnsi" w:cstheme="majorHAnsi"/>
              <w:sz w:val="24"/>
              <w:szCs w:val="24"/>
              <w:lang w:val="en"/>
            </w:rPr>
            <w:t xml:space="preserve"> Department of the Treasury.  (2018).  A Financial System that Creates Economic    </w:t>
          </w:r>
          <w:r w:rsidRPr="003067F0">
            <w:rPr>
              <w:rFonts w:asciiTheme="majorHAnsi" w:hAnsiTheme="majorHAnsi" w:cstheme="majorHAnsi"/>
              <w:sz w:val="24"/>
              <w:szCs w:val="24"/>
              <w:lang w:val="en"/>
            </w:rPr>
            <w:tab/>
          </w:r>
          <w:r w:rsidRPr="003067F0">
            <w:rPr>
              <w:rFonts w:asciiTheme="majorHAnsi" w:hAnsiTheme="majorHAnsi" w:cstheme="majorHAnsi"/>
              <w:sz w:val="24"/>
              <w:szCs w:val="24"/>
              <w:lang w:val="en"/>
            </w:rPr>
            <w:tab/>
          </w:r>
          <w:r w:rsidRPr="003067F0">
            <w:rPr>
              <w:rFonts w:asciiTheme="majorHAnsi" w:hAnsiTheme="majorHAnsi" w:cstheme="majorHAnsi"/>
              <w:sz w:val="24"/>
              <w:szCs w:val="24"/>
              <w:lang w:val="en"/>
            </w:rPr>
            <w:tab/>
          </w:r>
          <w:r w:rsidRPr="003067F0">
            <w:rPr>
              <w:rFonts w:asciiTheme="majorHAnsi" w:hAnsiTheme="majorHAnsi" w:cstheme="majorHAnsi"/>
              <w:sz w:val="24"/>
              <w:szCs w:val="24"/>
              <w:lang w:val="en"/>
            </w:rPr>
            <w:tab/>
          </w:r>
          <w:r w:rsidRPr="003067F0">
            <w:rPr>
              <w:rFonts w:asciiTheme="majorHAnsi" w:hAnsiTheme="majorHAnsi" w:cstheme="majorHAnsi"/>
              <w:sz w:val="24"/>
              <w:szCs w:val="24"/>
              <w:lang w:val="en"/>
            </w:rPr>
            <w:tab/>
            <w:t xml:space="preserve">             </w:t>
          </w:r>
          <w:r>
            <w:rPr>
              <w:rFonts w:asciiTheme="majorHAnsi" w:hAnsiTheme="majorHAnsi" w:cstheme="majorHAnsi"/>
              <w:sz w:val="24"/>
              <w:szCs w:val="24"/>
              <w:lang w:val="en"/>
            </w:rPr>
            <w:tab/>
          </w:r>
          <w:r w:rsidRPr="003067F0">
            <w:rPr>
              <w:rFonts w:asciiTheme="majorHAnsi" w:hAnsiTheme="majorHAnsi" w:cstheme="majorHAnsi"/>
              <w:sz w:val="24"/>
              <w:szCs w:val="24"/>
              <w:lang w:val="en"/>
            </w:rPr>
            <w:t>Opportunities Nonbank Financials, Fintech, and Innovation</w:t>
          </w:r>
          <w:r>
            <w:rPr>
              <w:rFonts w:asciiTheme="majorHAnsi" w:hAnsiTheme="majorHAnsi" w:cstheme="majorHAnsi"/>
              <w:sz w:val="24"/>
              <w:szCs w:val="24"/>
              <w:lang w:val="en"/>
            </w:rPr>
            <w:t xml:space="preserve">.  Found at: </w:t>
          </w:r>
          <w:r>
            <w:rPr>
              <w:rFonts w:asciiTheme="majorHAnsi" w:hAnsiTheme="majorHAnsi" w:cstheme="majorHAnsi"/>
              <w:sz w:val="24"/>
              <w:szCs w:val="24"/>
              <w:lang w:val="en"/>
            </w:rPr>
            <w:tab/>
          </w:r>
          <w:r>
            <w:rPr>
              <w:rFonts w:asciiTheme="majorHAnsi" w:hAnsiTheme="majorHAnsi" w:cstheme="majorHAnsi"/>
              <w:sz w:val="24"/>
              <w:szCs w:val="24"/>
              <w:lang w:val="en"/>
            </w:rPr>
            <w:tab/>
          </w:r>
        </w:p>
        <w:p w14:paraId="3423CD80" w14:textId="75C23D81" w:rsidR="002717F0" w:rsidRDefault="003067F0" w:rsidP="002717F0">
          <w:pPr>
            <w:spacing w:line="240" w:lineRule="auto"/>
            <w:ind w:firstLine="0"/>
            <w:rPr>
              <w:rFonts w:eastAsia="Times New Roman" w:cstheme="minorHAnsi"/>
              <w:lang w:val="en" w:eastAsia="en-US"/>
            </w:rPr>
          </w:pPr>
          <w:r>
            <w:rPr>
              <w:rFonts w:asciiTheme="majorHAnsi" w:hAnsiTheme="majorHAnsi" w:cstheme="majorHAnsi"/>
              <w:lang w:val="en"/>
            </w:rPr>
            <w:tab/>
          </w:r>
          <w:hyperlink r:id="rId29" w:history="1">
            <w:r w:rsidR="002717F0" w:rsidRPr="00AE20D1">
              <w:rPr>
                <w:rStyle w:val="Hyperlink"/>
                <w:rFonts w:eastAsia="Times New Roman" w:cstheme="minorHAnsi"/>
                <w:lang w:val="en" w:eastAsia="en-US"/>
              </w:rPr>
              <w:t>https://home.treasury.gov/sites/default/files/2018-08/A-Financial-System-that-Creates-</w:t>
            </w:r>
            <w:r w:rsidR="002717F0" w:rsidRPr="002717F0">
              <w:rPr>
                <w:rStyle w:val="Hyperlink"/>
                <w:rFonts w:eastAsia="Times New Roman" w:cstheme="minorHAnsi"/>
                <w:u w:val="none"/>
                <w:lang w:val="en" w:eastAsia="en-US"/>
              </w:rPr>
              <w:tab/>
            </w:r>
            <w:r w:rsidR="002717F0" w:rsidRPr="00AE20D1">
              <w:rPr>
                <w:rStyle w:val="Hyperlink"/>
                <w:rFonts w:eastAsia="Times New Roman" w:cstheme="minorHAnsi"/>
                <w:lang w:val="en" w:eastAsia="en-US"/>
              </w:rPr>
              <w:t>Economic-Opportunities---Nonbank-Financials-Fintech-and-Innovation.pdf</w:t>
            </w:r>
          </w:hyperlink>
          <w:r w:rsidR="002717F0">
            <w:rPr>
              <w:rFonts w:eastAsia="Times New Roman" w:cstheme="minorHAnsi"/>
              <w:lang w:val="en" w:eastAsia="en-US"/>
            </w:rPr>
            <w:t xml:space="preserve"> .</w:t>
          </w:r>
          <w:r w:rsidR="002717F0" w:rsidRPr="002717F0">
            <w:rPr>
              <w:rFonts w:eastAsia="Times New Roman" w:cstheme="minorHAnsi"/>
              <w:lang w:val="en" w:eastAsia="en-US"/>
            </w:rPr>
            <w:t xml:space="preserve"> </w:t>
          </w:r>
        </w:p>
        <w:p w14:paraId="37BE7407" w14:textId="20760C2F" w:rsidR="0079689A" w:rsidRDefault="0079689A" w:rsidP="002717F0">
          <w:pPr>
            <w:spacing w:line="240" w:lineRule="auto"/>
            <w:ind w:firstLine="0"/>
            <w:rPr>
              <w:rFonts w:eastAsia="Times New Roman" w:cstheme="minorHAnsi"/>
              <w:lang w:val="en" w:eastAsia="en-US"/>
            </w:rPr>
          </w:pPr>
        </w:p>
        <w:p w14:paraId="1ED82D6D" w14:textId="77777777" w:rsidR="009F3A3B" w:rsidRDefault="009F3A3B" w:rsidP="009F3A3B">
          <w:pPr>
            <w:pStyle w:val="FootnoteText"/>
            <w:ind w:firstLine="0"/>
            <w:rPr>
              <w:rFonts w:cstheme="minorHAnsi"/>
              <w:i/>
              <w:iCs/>
              <w:sz w:val="24"/>
              <w:szCs w:val="24"/>
              <w:lang w:val="en"/>
            </w:rPr>
          </w:pPr>
          <w:r w:rsidRPr="003067F0">
            <w:rPr>
              <w:rFonts w:cstheme="minorHAnsi"/>
              <w:sz w:val="24"/>
              <w:szCs w:val="24"/>
              <w:lang w:val="en"/>
            </w:rPr>
            <w:t>V</w:t>
          </w:r>
          <w:r>
            <w:rPr>
              <w:rFonts w:cstheme="minorHAnsi"/>
              <w:sz w:val="24"/>
              <w:szCs w:val="24"/>
              <w:lang w:val="en"/>
            </w:rPr>
            <w:t>alier, A</w:t>
          </w:r>
          <w:r w:rsidRPr="003067F0">
            <w:rPr>
              <w:rFonts w:cstheme="minorHAnsi"/>
              <w:sz w:val="24"/>
              <w:szCs w:val="24"/>
              <w:lang w:val="en"/>
            </w:rPr>
            <w:t>.  (20</w:t>
          </w:r>
          <w:r>
            <w:rPr>
              <w:rFonts w:cstheme="minorHAnsi"/>
              <w:sz w:val="24"/>
              <w:szCs w:val="24"/>
              <w:lang w:val="en"/>
            </w:rPr>
            <w:t>20</w:t>
          </w:r>
          <w:r w:rsidRPr="003067F0">
            <w:rPr>
              <w:rFonts w:cstheme="minorHAnsi"/>
              <w:sz w:val="24"/>
              <w:szCs w:val="24"/>
              <w:lang w:val="en"/>
            </w:rPr>
            <w:t xml:space="preserve">).  </w:t>
          </w:r>
          <w:r>
            <w:rPr>
              <w:rFonts w:cstheme="minorHAnsi"/>
              <w:sz w:val="24"/>
              <w:szCs w:val="24"/>
              <w:lang w:val="en"/>
            </w:rPr>
            <w:t>Who performs better? AVMs vs hedonic models</w:t>
          </w:r>
          <w:r w:rsidRPr="002B3C9E">
            <w:rPr>
              <w:rFonts w:cstheme="minorHAnsi"/>
              <w:sz w:val="24"/>
              <w:szCs w:val="24"/>
              <w:lang w:val="en"/>
            </w:rPr>
            <w:t xml:space="preserve">.  </w:t>
          </w:r>
          <w:r>
            <w:rPr>
              <w:rFonts w:cstheme="minorHAnsi"/>
              <w:i/>
              <w:iCs/>
              <w:sz w:val="24"/>
              <w:szCs w:val="24"/>
              <w:lang w:val="en"/>
            </w:rPr>
            <w:t xml:space="preserve">Journal of Property </w:t>
          </w:r>
        </w:p>
        <w:p w14:paraId="665380B8" w14:textId="77777777" w:rsidR="009F3A3B" w:rsidRDefault="009F3A3B" w:rsidP="009F3A3B">
          <w:pPr>
            <w:pStyle w:val="FootnoteText"/>
            <w:ind w:firstLine="0"/>
          </w:pPr>
          <w:r>
            <w:rPr>
              <w:rFonts w:cstheme="minorHAnsi"/>
              <w:i/>
              <w:iCs/>
              <w:sz w:val="24"/>
              <w:szCs w:val="24"/>
              <w:lang w:val="en"/>
            </w:rPr>
            <w:tab/>
            <w:t>Investment &amp; Finance</w:t>
          </w:r>
          <w:r w:rsidRPr="002B3C9E">
            <w:rPr>
              <w:rFonts w:cstheme="minorHAnsi"/>
              <w:sz w:val="24"/>
              <w:szCs w:val="24"/>
              <w:lang w:val="en"/>
            </w:rPr>
            <w:t xml:space="preserve">.  </w:t>
          </w:r>
          <w:r>
            <w:rPr>
              <w:rFonts w:cstheme="minorHAnsi"/>
              <w:b/>
              <w:bCs/>
              <w:sz w:val="24"/>
              <w:szCs w:val="24"/>
              <w:lang w:val="en"/>
            </w:rPr>
            <w:t>38</w:t>
          </w:r>
          <w:r w:rsidRPr="002B3C9E">
            <w:rPr>
              <w:rFonts w:cstheme="minorHAnsi"/>
              <w:b/>
              <w:bCs/>
              <w:sz w:val="24"/>
              <w:szCs w:val="24"/>
              <w:lang w:val="en"/>
            </w:rPr>
            <w:t xml:space="preserve"> </w:t>
          </w:r>
          <w:r w:rsidRPr="002B3C9E">
            <w:rPr>
              <w:rFonts w:cstheme="minorHAnsi"/>
              <w:sz w:val="24"/>
              <w:szCs w:val="24"/>
              <w:lang w:val="en"/>
            </w:rPr>
            <w:t>(</w:t>
          </w:r>
          <w:r>
            <w:rPr>
              <w:rFonts w:cstheme="minorHAnsi"/>
              <w:sz w:val="24"/>
              <w:szCs w:val="24"/>
              <w:lang w:val="en"/>
            </w:rPr>
            <w:t>3</w:t>
          </w:r>
          <w:r w:rsidRPr="002B3C9E">
            <w:rPr>
              <w:rFonts w:cstheme="minorHAnsi"/>
              <w:sz w:val="24"/>
              <w:szCs w:val="24"/>
              <w:lang w:val="en"/>
            </w:rPr>
            <w:t xml:space="preserve">). pp. </w:t>
          </w:r>
          <w:r>
            <w:rPr>
              <w:rFonts w:cstheme="minorHAnsi"/>
              <w:sz w:val="24"/>
              <w:szCs w:val="24"/>
              <w:lang w:val="en"/>
            </w:rPr>
            <w:t>213-225</w:t>
          </w:r>
          <w:r w:rsidRPr="002B3C9E">
            <w:rPr>
              <w:rFonts w:cstheme="minorHAnsi"/>
              <w:sz w:val="24"/>
              <w:szCs w:val="24"/>
              <w:lang w:val="en"/>
            </w:rPr>
            <w:t>.</w:t>
          </w:r>
          <w:r w:rsidRPr="0079689A">
            <w:t xml:space="preserve"> </w:t>
          </w:r>
        </w:p>
        <w:p w14:paraId="5AF2D4A8" w14:textId="77777777" w:rsidR="00485282" w:rsidRDefault="00485282" w:rsidP="003067F0">
          <w:pPr>
            <w:pStyle w:val="FootnoteText"/>
            <w:ind w:firstLine="0"/>
            <w:rPr>
              <w:rFonts w:cstheme="minorHAnsi"/>
              <w:sz w:val="24"/>
              <w:szCs w:val="24"/>
              <w:lang w:val="en"/>
            </w:rPr>
          </w:pPr>
        </w:p>
        <w:p w14:paraId="0F2673F9" w14:textId="28827164" w:rsidR="0079689A" w:rsidRDefault="00637C5F" w:rsidP="003067F0">
          <w:pPr>
            <w:pStyle w:val="FootnoteText"/>
            <w:ind w:firstLine="0"/>
          </w:pPr>
          <w:r w:rsidRPr="003067F0">
            <w:rPr>
              <w:rFonts w:cstheme="minorHAnsi"/>
              <w:sz w:val="24"/>
              <w:szCs w:val="24"/>
              <w:lang w:val="en"/>
            </w:rPr>
            <w:t>Vyas, S and L, Kumaranayake.</w:t>
          </w:r>
          <w:r w:rsidR="00320C7D" w:rsidRPr="003067F0">
            <w:rPr>
              <w:rFonts w:cstheme="minorHAnsi"/>
              <w:sz w:val="24"/>
              <w:szCs w:val="24"/>
              <w:lang w:val="en"/>
            </w:rPr>
            <w:t xml:space="preserve"> </w:t>
          </w:r>
          <w:r w:rsidRPr="003067F0">
            <w:rPr>
              <w:rFonts w:cstheme="minorHAnsi"/>
              <w:sz w:val="24"/>
              <w:szCs w:val="24"/>
              <w:lang w:val="en"/>
            </w:rPr>
            <w:t xml:space="preserve"> (2006).  Constructing socio-economic status indices: How to </w:t>
          </w:r>
          <w:r w:rsidR="003067F0">
            <w:rPr>
              <w:rFonts w:cstheme="minorHAnsi"/>
              <w:sz w:val="24"/>
              <w:szCs w:val="24"/>
              <w:lang w:val="en"/>
            </w:rPr>
            <w:tab/>
          </w:r>
          <w:r w:rsidRPr="003067F0">
            <w:rPr>
              <w:rFonts w:cstheme="minorHAnsi"/>
              <w:sz w:val="24"/>
              <w:szCs w:val="24"/>
              <w:lang w:val="en"/>
            </w:rPr>
            <w:t>use p</w:t>
          </w:r>
          <w:r w:rsidRPr="002B3C9E">
            <w:rPr>
              <w:rFonts w:cstheme="minorHAnsi"/>
              <w:sz w:val="24"/>
              <w:szCs w:val="24"/>
              <w:lang w:val="en"/>
            </w:rPr>
            <w:t xml:space="preserve">rincipal components analysis.  </w:t>
          </w:r>
          <w:r w:rsidRPr="002B3C9E">
            <w:rPr>
              <w:rFonts w:cstheme="minorHAnsi"/>
              <w:i/>
              <w:iCs/>
              <w:sz w:val="24"/>
              <w:szCs w:val="24"/>
              <w:lang w:val="en"/>
            </w:rPr>
            <w:t>Health Policy and Planning</w:t>
          </w:r>
          <w:r w:rsidRPr="002B3C9E">
            <w:rPr>
              <w:rFonts w:cstheme="minorHAnsi"/>
              <w:sz w:val="24"/>
              <w:szCs w:val="24"/>
              <w:lang w:val="en"/>
            </w:rPr>
            <w:t xml:space="preserve">.  </w:t>
          </w:r>
          <w:r w:rsidRPr="002B3C9E">
            <w:rPr>
              <w:rFonts w:cstheme="minorHAnsi"/>
              <w:b/>
              <w:bCs/>
              <w:sz w:val="24"/>
              <w:szCs w:val="24"/>
              <w:lang w:val="en"/>
            </w:rPr>
            <w:t xml:space="preserve">21 </w:t>
          </w:r>
          <w:r w:rsidRPr="002B3C9E">
            <w:rPr>
              <w:rFonts w:cstheme="minorHAnsi"/>
              <w:sz w:val="24"/>
              <w:szCs w:val="24"/>
              <w:lang w:val="en"/>
            </w:rPr>
            <w:t>(6). pp. 459-468.</w:t>
          </w:r>
          <w:r w:rsidR="0079689A" w:rsidRPr="0079689A">
            <w:t xml:space="preserve"> </w:t>
          </w:r>
        </w:p>
        <w:p w14:paraId="7C1C100F" w14:textId="6738A32B" w:rsidR="0079689A" w:rsidRDefault="008C7EE9" w:rsidP="003067F0">
          <w:pPr>
            <w:pStyle w:val="FootnoteText"/>
            <w:ind w:firstLine="0"/>
          </w:pPr>
        </w:p>
      </w:sdtContent>
    </w:sdt>
    <w:p w14:paraId="07562FC4" w14:textId="77777777" w:rsidR="00B57EF7" w:rsidRPr="002B3C9E" w:rsidRDefault="00B57EF7" w:rsidP="002D6A14">
      <w:pPr>
        <w:spacing w:line="240" w:lineRule="auto"/>
        <w:rPr>
          <w:rFonts w:cstheme="minorHAnsi"/>
          <w:b/>
        </w:rPr>
      </w:pPr>
      <w:bookmarkStart w:id="13" w:name="_Hlk12095248"/>
    </w:p>
    <w:p w14:paraId="0635D376" w14:textId="1FEA7279" w:rsidR="00B82593" w:rsidRDefault="00B1038F" w:rsidP="0036039F">
      <w:pPr>
        <w:rPr>
          <w:rFonts w:ascii="Times New Roman" w:eastAsia="Calibri" w:hAnsi="Times New Roman" w:cs="Times New Roman"/>
          <w:b/>
          <w:color w:val="auto"/>
          <w:lang w:eastAsia="en-US"/>
        </w:rPr>
      </w:pPr>
      <w:r w:rsidRPr="002B3C9E">
        <w:rPr>
          <w:rFonts w:eastAsia="Calibri" w:cstheme="minorHAnsi"/>
          <w:b/>
          <w:color w:val="auto"/>
          <w:lang w:eastAsia="en-US"/>
        </w:rPr>
        <w:br w:type="page"/>
      </w:r>
      <w:r w:rsidR="00F37CA4" w:rsidRPr="00B82593">
        <w:rPr>
          <w:rFonts w:ascii="Times New Roman" w:eastAsia="Calibri" w:hAnsi="Times New Roman" w:cs="Times New Roman"/>
          <w:b/>
          <w:color w:val="auto"/>
          <w:lang w:eastAsia="en-US"/>
        </w:rPr>
        <w:lastRenderedPageBreak/>
        <w:t>Exhibit 1:</w:t>
      </w:r>
      <w:r w:rsidR="00F37CA4" w:rsidRPr="00B82593">
        <w:rPr>
          <w:rFonts w:ascii="Times New Roman" w:eastAsia="Calibri" w:hAnsi="Times New Roman" w:cs="Times New Roman"/>
          <w:color w:val="auto"/>
          <w:lang w:eastAsia="en-US"/>
        </w:rPr>
        <w:t xml:space="preserve"> Glossary of Common AVM Performance Metrics</w:t>
      </w:r>
    </w:p>
    <w:tbl>
      <w:tblPr>
        <w:tblpPr w:leftFromText="180" w:rightFromText="180" w:vertAnchor="text" w:horzAnchor="margin" w:tblpY="565"/>
        <w:tblW w:w="9085" w:type="dxa"/>
        <w:tblLook w:val="04A0" w:firstRow="1" w:lastRow="0" w:firstColumn="1" w:lastColumn="0" w:noHBand="0" w:noVBand="1"/>
      </w:tblPr>
      <w:tblGrid>
        <w:gridCol w:w="3685"/>
        <w:gridCol w:w="5400"/>
      </w:tblGrid>
      <w:tr w:rsidR="009F56B2" w:rsidRPr="00A7789B" w14:paraId="1266B6F8" w14:textId="77777777" w:rsidTr="009F56B2">
        <w:trPr>
          <w:trHeight w:val="300"/>
        </w:trPr>
        <w:tc>
          <w:tcPr>
            <w:tcW w:w="3685" w:type="dxa"/>
            <w:tcBorders>
              <w:top w:val="single" w:sz="4" w:space="0" w:color="4472C4"/>
              <w:left w:val="single" w:sz="4" w:space="0" w:color="auto"/>
              <w:bottom w:val="double" w:sz="6" w:space="0" w:color="4472C4"/>
              <w:right w:val="single" w:sz="4" w:space="0" w:color="auto"/>
            </w:tcBorders>
            <w:shd w:val="clear" w:color="auto" w:fill="auto"/>
            <w:noWrap/>
            <w:vAlign w:val="bottom"/>
            <w:hideMark/>
          </w:tcPr>
          <w:p w14:paraId="5336040A" w14:textId="77777777" w:rsidR="009F56B2" w:rsidRPr="00163FE4" w:rsidRDefault="009F56B2" w:rsidP="009F56B2">
            <w:pPr>
              <w:spacing w:line="240" w:lineRule="auto"/>
              <w:ind w:firstLine="0"/>
              <w:jc w:val="center"/>
              <w:rPr>
                <w:rFonts w:asciiTheme="majorHAnsi" w:eastAsia="Times New Roman" w:hAnsiTheme="majorHAnsi" w:cstheme="majorHAnsi"/>
                <w:b/>
                <w:bCs/>
                <w:color w:val="000000"/>
                <w:sz w:val="22"/>
                <w:szCs w:val="22"/>
                <w:lang w:eastAsia="en-US"/>
              </w:rPr>
            </w:pPr>
            <w:bookmarkStart w:id="14" w:name="_Hlk24779213"/>
            <w:r w:rsidRPr="00163FE4">
              <w:rPr>
                <w:rFonts w:asciiTheme="majorHAnsi" w:eastAsia="Times New Roman" w:hAnsiTheme="majorHAnsi" w:cstheme="majorHAnsi"/>
                <w:b/>
                <w:bCs/>
                <w:color w:val="000000"/>
                <w:sz w:val="22"/>
                <w:szCs w:val="22"/>
                <w:lang w:eastAsia="en-US"/>
              </w:rPr>
              <w:t>AVM Performance Metric (Abbreviation)</w:t>
            </w:r>
          </w:p>
        </w:tc>
        <w:tc>
          <w:tcPr>
            <w:tcW w:w="5400" w:type="dxa"/>
            <w:tcBorders>
              <w:top w:val="single" w:sz="4" w:space="0" w:color="4472C4"/>
              <w:left w:val="single" w:sz="4" w:space="0" w:color="auto"/>
              <w:bottom w:val="double" w:sz="6" w:space="0" w:color="4472C4"/>
              <w:right w:val="single" w:sz="4" w:space="0" w:color="auto"/>
            </w:tcBorders>
          </w:tcPr>
          <w:p w14:paraId="5A45E406" w14:textId="77777777" w:rsidR="009F56B2" w:rsidRPr="00163FE4" w:rsidRDefault="009F56B2" w:rsidP="009F56B2">
            <w:pPr>
              <w:spacing w:line="240" w:lineRule="auto"/>
              <w:ind w:firstLine="0"/>
              <w:jc w:val="center"/>
              <w:rPr>
                <w:rFonts w:asciiTheme="majorHAnsi" w:eastAsia="Times New Roman" w:hAnsiTheme="majorHAnsi" w:cstheme="majorHAnsi"/>
                <w:b/>
                <w:bCs/>
                <w:color w:val="000000"/>
                <w:sz w:val="22"/>
                <w:szCs w:val="22"/>
                <w:lang w:eastAsia="en-US"/>
              </w:rPr>
            </w:pPr>
            <w:r w:rsidRPr="00163FE4">
              <w:rPr>
                <w:rFonts w:asciiTheme="majorHAnsi" w:eastAsia="Times New Roman" w:hAnsiTheme="majorHAnsi" w:cstheme="majorHAnsi"/>
                <w:b/>
                <w:bCs/>
                <w:color w:val="000000"/>
                <w:sz w:val="22"/>
                <w:szCs w:val="22"/>
                <w:lang w:eastAsia="en-US"/>
              </w:rPr>
              <w:t xml:space="preserve">Definition </w:t>
            </w:r>
          </w:p>
          <w:p w14:paraId="4649A5B4" w14:textId="77777777" w:rsidR="009F56B2" w:rsidRPr="00163FE4" w:rsidRDefault="009F56B2" w:rsidP="009F56B2">
            <w:pPr>
              <w:spacing w:line="240" w:lineRule="auto"/>
              <w:ind w:firstLine="0"/>
              <w:jc w:val="center"/>
              <w:rPr>
                <w:rFonts w:asciiTheme="majorHAnsi" w:eastAsia="Times New Roman" w:hAnsiTheme="majorHAnsi" w:cstheme="majorHAnsi"/>
                <w:b/>
                <w:bCs/>
                <w:color w:val="000000"/>
                <w:sz w:val="22"/>
                <w:szCs w:val="22"/>
                <w:lang w:eastAsia="en-US"/>
              </w:rPr>
            </w:pPr>
            <w:r w:rsidRPr="00163FE4">
              <w:rPr>
                <w:rFonts w:asciiTheme="majorHAnsi" w:eastAsia="Times New Roman" w:hAnsiTheme="majorHAnsi" w:cstheme="majorHAnsi"/>
                <w:b/>
                <w:bCs/>
                <w:color w:val="000000"/>
                <w:sz w:val="22"/>
                <w:szCs w:val="22"/>
                <w:lang w:eastAsia="en-US"/>
              </w:rPr>
              <w:t>(Reference)</w:t>
            </w:r>
          </w:p>
        </w:tc>
      </w:tr>
      <w:tr w:rsidR="009F56B2" w:rsidRPr="00E17DCD" w14:paraId="345AB4DD" w14:textId="77777777" w:rsidTr="009F56B2">
        <w:trPr>
          <w:trHeight w:val="312"/>
        </w:trPr>
        <w:tc>
          <w:tcPr>
            <w:tcW w:w="3685" w:type="dxa"/>
            <w:tcBorders>
              <w:top w:val="double" w:sz="6" w:space="0" w:color="4472C4"/>
              <w:left w:val="single" w:sz="4" w:space="0" w:color="auto"/>
              <w:right w:val="single" w:sz="4" w:space="0" w:color="auto"/>
            </w:tcBorders>
            <w:shd w:val="clear" w:color="auto" w:fill="auto"/>
            <w:noWrap/>
            <w:vAlign w:val="center"/>
            <w:hideMark/>
          </w:tcPr>
          <w:p w14:paraId="09861400" w14:textId="77777777" w:rsidR="009F56B2" w:rsidRPr="00163FE4"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Hit Rate</w:t>
            </w:r>
          </w:p>
        </w:tc>
        <w:tc>
          <w:tcPr>
            <w:tcW w:w="5400" w:type="dxa"/>
            <w:tcBorders>
              <w:top w:val="double" w:sz="6" w:space="0" w:color="4472C4"/>
              <w:left w:val="single" w:sz="4" w:space="0" w:color="auto"/>
              <w:right w:val="single" w:sz="4" w:space="0" w:color="auto"/>
            </w:tcBorders>
          </w:tcPr>
          <w:p w14:paraId="77B9F78C" w14:textId="77777777" w:rsidR="009F56B2" w:rsidRPr="00163FE4"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The percent of properties for which an AVM returns a value (MBA, 2019)</w:t>
            </w:r>
          </w:p>
        </w:tc>
      </w:tr>
      <w:tr w:rsidR="009F56B2" w:rsidRPr="00E17DCD" w14:paraId="42E0B08F" w14:textId="77777777" w:rsidTr="009F56B2">
        <w:trPr>
          <w:trHeight w:val="312"/>
        </w:trPr>
        <w:tc>
          <w:tcPr>
            <w:tcW w:w="3685" w:type="dxa"/>
            <w:tcBorders>
              <w:left w:val="single" w:sz="4" w:space="0" w:color="auto"/>
              <w:right w:val="single" w:sz="4" w:space="0" w:color="auto"/>
            </w:tcBorders>
            <w:shd w:val="clear" w:color="auto" w:fill="auto"/>
            <w:noWrap/>
            <w:vAlign w:val="center"/>
          </w:tcPr>
          <w:p w14:paraId="16D957A2" w14:textId="77777777" w:rsidR="009F56B2" w:rsidRPr="00163FE4"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Confidence Score</w:t>
            </w:r>
          </w:p>
        </w:tc>
        <w:tc>
          <w:tcPr>
            <w:tcW w:w="5400" w:type="dxa"/>
            <w:tcBorders>
              <w:left w:val="single" w:sz="4" w:space="0" w:color="auto"/>
              <w:right w:val="single" w:sz="4" w:space="0" w:color="auto"/>
            </w:tcBorders>
          </w:tcPr>
          <w:p w14:paraId="2B03910F" w14:textId="77777777" w:rsidR="009F56B2" w:rsidRPr="00163FE4"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A value that indicates the AVM vendor’s confidence in its AVM valuation (CoreLogic, 2014)</w:t>
            </w:r>
          </w:p>
        </w:tc>
      </w:tr>
      <w:tr w:rsidR="009F56B2" w:rsidRPr="00E17DCD" w14:paraId="6A06103E" w14:textId="77777777" w:rsidTr="009F56B2">
        <w:trPr>
          <w:trHeight w:val="312"/>
        </w:trPr>
        <w:tc>
          <w:tcPr>
            <w:tcW w:w="3685" w:type="dxa"/>
            <w:tcBorders>
              <w:top w:val="single" w:sz="4" w:space="0" w:color="auto"/>
              <w:left w:val="single" w:sz="4" w:space="0" w:color="auto"/>
              <w:right w:val="single" w:sz="4" w:space="0" w:color="auto"/>
            </w:tcBorders>
            <w:shd w:val="clear" w:color="auto" w:fill="auto"/>
            <w:noWrap/>
            <w:vAlign w:val="center"/>
          </w:tcPr>
          <w:p w14:paraId="40E23C0F" w14:textId="77777777" w:rsidR="009F56B2" w:rsidRPr="00163FE4" w:rsidRDefault="009F56B2" w:rsidP="009F56B2">
            <w:pPr>
              <w:spacing w:line="240" w:lineRule="auto"/>
              <w:ind w:firstLine="0"/>
              <w:jc w:val="center"/>
              <w:rPr>
                <w:rFonts w:asciiTheme="majorHAnsi" w:eastAsia="Times New Roman" w:hAnsiTheme="majorHAnsi" w:cstheme="majorHAnsi"/>
                <w:b/>
                <w:bCs/>
                <w:color w:val="000000"/>
                <w:sz w:val="22"/>
                <w:szCs w:val="22"/>
                <w:lang w:eastAsia="en-US"/>
              </w:rPr>
            </w:pPr>
            <w:r w:rsidRPr="00163FE4">
              <w:rPr>
                <w:rFonts w:asciiTheme="majorHAnsi" w:eastAsia="Times New Roman" w:hAnsiTheme="majorHAnsi" w:cstheme="majorHAnsi"/>
                <w:b/>
                <w:bCs/>
                <w:color w:val="000000"/>
                <w:sz w:val="22"/>
                <w:szCs w:val="22"/>
                <w:lang w:eastAsia="en-US"/>
              </w:rPr>
              <w:t>Accuracy Metrics</w:t>
            </w:r>
          </w:p>
        </w:tc>
        <w:tc>
          <w:tcPr>
            <w:tcW w:w="5400" w:type="dxa"/>
            <w:tcBorders>
              <w:top w:val="single" w:sz="4" w:space="0" w:color="auto"/>
              <w:left w:val="single" w:sz="4" w:space="0" w:color="auto"/>
              <w:right w:val="single" w:sz="4" w:space="0" w:color="auto"/>
            </w:tcBorders>
          </w:tcPr>
          <w:p w14:paraId="4226EAAF" w14:textId="77777777" w:rsidR="009F56B2" w:rsidRPr="006C5A8F" w:rsidRDefault="009F56B2" w:rsidP="009F56B2">
            <w:pPr>
              <w:spacing w:line="240" w:lineRule="auto"/>
              <w:ind w:firstLine="0"/>
              <w:jc w:val="center"/>
              <w:rPr>
                <w:rFonts w:asciiTheme="majorHAnsi" w:eastAsia="Times New Roman" w:hAnsiTheme="majorHAnsi" w:cstheme="majorHAnsi"/>
                <w:b/>
                <w:bCs/>
                <w:color w:val="000000"/>
                <w:sz w:val="22"/>
                <w:szCs w:val="22"/>
                <w:lang w:eastAsia="en-US"/>
              </w:rPr>
            </w:pPr>
          </w:p>
        </w:tc>
      </w:tr>
      <w:tr w:rsidR="009F56B2" w:rsidRPr="00E17DCD" w14:paraId="2ACF63C7" w14:textId="77777777" w:rsidTr="009F56B2">
        <w:trPr>
          <w:trHeight w:val="312"/>
        </w:trPr>
        <w:tc>
          <w:tcPr>
            <w:tcW w:w="3685" w:type="dxa"/>
            <w:tcBorders>
              <w:left w:val="single" w:sz="4" w:space="0" w:color="auto"/>
              <w:right w:val="single" w:sz="4" w:space="0" w:color="auto"/>
            </w:tcBorders>
            <w:shd w:val="clear" w:color="auto" w:fill="auto"/>
            <w:noWrap/>
            <w:vAlign w:val="center"/>
          </w:tcPr>
          <w:p w14:paraId="05A9FE1B" w14:textId="77777777" w:rsidR="009F56B2" w:rsidRPr="00163FE4"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Mean Percentage Sales Error</w:t>
            </w:r>
          </w:p>
        </w:tc>
        <w:tc>
          <w:tcPr>
            <w:tcW w:w="5400" w:type="dxa"/>
            <w:tcBorders>
              <w:left w:val="single" w:sz="4" w:space="0" w:color="auto"/>
              <w:right w:val="single" w:sz="4" w:space="0" w:color="auto"/>
            </w:tcBorders>
          </w:tcPr>
          <w:p w14:paraId="658614A5" w14:textId="77777777" w:rsidR="009F56B2" w:rsidRPr="006C5A8F"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6C5A8F">
              <w:rPr>
                <w:rFonts w:asciiTheme="majorHAnsi" w:eastAsia="Times New Roman" w:hAnsiTheme="majorHAnsi" w:cstheme="majorHAnsi"/>
                <w:color w:val="000000"/>
                <w:sz w:val="22"/>
                <w:szCs w:val="22"/>
                <w:lang w:eastAsia="en-US"/>
              </w:rPr>
              <w:t>The mean of a set of percentage sales errors</w:t>
            </w:r>
          </w:p>
          <w:p w14:paraId="63D2D8AD" w14:textId="41401D14" w:rsidR="009F56B2" w:rsidRPr="006C5A8F"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6C5A8F">
              <w:rPr>
                <w:rFonts w:asciiTheme="majorHAnsi" w:eastAsia="Times New Roman" w:hAnsiTheme="majorHAnsi" w:cstheme="majorHAnsi"/>
                <w:color w:val="000000"/>
                <w:sz w:val="22"/>
                <w:szCs w:val="22"/>
                <w:lang w:eastAsia="en-US"/>
              </w:rPr>
              <w:t>(</w:t>
            </w:r>
            <w:r w:rsidR="00792C72">
              <w:rPr>
                <w:rFonts w:asciiTheme="majorHAnsi" w:eastAsia="Times New Roman" w:hAnsiTheme="majorHAnsi" w:cstheme="majorHAnsi"/>
                <w:color w:val="000000"/>
                <w:sz w:val="22"/>
                <w:szCs w:val="22"/>
                <w:lang w:eastAsia="en-US"/>
              </w:rPr>
              <w:t>CoreLogic, 2011</w:t>
            </w:r>
            <w:r w:rsidRPr="006C5A8F">
              <w:rPr>
                <w:rFonts w:asciiTheme="majorHAnsi" w:eastAsia="Times New Roman" w:hAnsiTheme="majorHAnsi" w:cstheme="majorHAnsi"/>
                <w:color w:val="000000"/>
                <w:sz w:val="22"/>
                <w:szCs w:val="22"/>
                <w:lang w:eastAsia="en-US"/>
              </w:rPr>
              <w:t>)</w:t>
            </w:r>
          </w:p>
        </w:tc>
      </w:tr>
      <w:tr w:rsidR="009F56B2" w:rsidRPr="00E17DCD" w14:paraId="74BFBC09" w14:textId="77777777" w:rsidTr="009F56B2">
        <w:trPr>
          <w:trHeight w:val="312"/>
        </w:trPr>
        <w:tc>
          <w:tcPr>
            <w:tcW w:w="3685" w:type="dxa"/>
            <w:tcBorders>
              <w:left w:val="single" w:sz="4" w:space="0" w:color="auto"/>
              <w:right w:val="single" w:sz="4" w:space="0" w:color="auto"/>
            </w:tcBorders>
            <w:shd w:val="clear" w:color="auto" w:fill="auto"/>
            <w:noWrap/>
            <w:vAlign w:val="center"/>
          </w:tcPr>
          <w:p w14:paraId="71339797" w14:textId="77777777" w:rsidR="009F56B2" w:rsidRPr="00163FE4"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Median Percentage Sales Error</w:t>
            </w:r>
          </w:p>
        </w:tc>
        <w:tc>
          <w:tcPr>
            <w:tcW w:w="5400" w:type="dxa"/>
            <w:tcBorders>
              <w:left w:val="single" w:sz="4" w:space="0" w:color="auto"/>
              <w:right w:val="single" w:sz="4" w:space="0" w:color="auto"/>
            </w:tcBorders>
          </w:tcPr>
          <w:p w14:paraId="634B74F0" w14:textId="77777777" w:rsidR="009F56B2" w:rsidRPr="006C5A8F"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6C5A8F">
              <w:rPr>
                <w:rFonts w:asciiTheme="majorHAnsi" w:eastAsia="Times New Roman" w:hAnsiTheme="majorHAnsi" w:cstheme="majorHAnsi"/>
                <w:color w:val="000000"/>
                <w:sz w:val="22"/>
                <w:szCs w:val="22"/>
                <w:lang w:eastAsia="en-US"/>
              </w:rPr>
              <w:t>The median of a set of percentage sales errors</w:t>
            </w:r>
          </w:p>
          <w:p w14:paraId="60D20968" w14:textId="039CA15A" w:rsidR="009F56B2" w:rsidRPr="006C5A8F" w:rsidRDefault="006C5A8F" w:rsidP="009F56B2">
            <w:pPr>
              <w:spacing w:line="240" w:lineRule="auto"/>
              <w:ind w:firstLine="0"/>
              <w:jc w:val="center"/>
              <w:rPr>
                <w:rFonts w:asciiTheme="majorHAnsi" w:eastAsia="Times New Roman" w:hAnsiTheme="majorHAnsi" w:cstheme="majorHAnsi"/>
                <w:color w:val="000000"/>
                <w:sz w:val="22"/>
                <w:szCs w:val="22"/>
                <w:lang w:eastAsia="en-US"/>
              </w:rPr>
            </w:pPr>
            <w:r w:rsidRPr="006C5A8F">
              <w:rPr>
                <w:rFonts w:asciiTheme="majorHAnsi" w:eastAsia="Times New Roman" w:hAnsiTheme="majorHAnsi" w:cstheme="majorHAnsi"/>
                <w:color w:val="000000"/>
                <w:sz w:val="22"/>
                <w:szCs w:val="22"/>
                <w:lang w:eastAsia="en-US"/>
              </w:rPr>
              <w:t>(</w:t>
            </w:r>
            <w:bookmarkStart w:id="15" w:name="_Hlk41387938"/>
            <w:r w:rsidRPr="006C5A8F">
              <w:rPr>
                <w:rFonts w:asciiTheme="majorHAnsi" w:hAnsiTheme="majorHAnsi" w:cstheme="majorHAnsi"/>
                <w:sz w:val="22"/>
                <w:szCs w:val="22"/>
                <w:lang w:val="en"/>
              </w:rPr>
              <w:t>Steurer and Hill, 2020</w:t>
            </w:r>
            <w:bookmarkEnd w:id="15"/>
            <w:r w:rsidRPr="006C5A8F">
              <w:rPr>
                <w:rFonts w:asciiTheme="majorHAnsi" w:eastAsia="Times New Roman" w:hAnsiTheme="majorHAnsi" w:cstheme="majorHAnsi"/>
                <w:color w:val="000000"/>
                <w:sz w:val="22"/>
                <w:szCs w:val="22"/>
                <w:lang w:eastAsia="en-US"/>
              </w:rPr>
              <w:t>)</w:t>
            </w:r>
          </w:p>
        </w:tc>
      </w:tr>
      <w:tr w:rsidR="009F56B2" w:rsidRPr="00E17DCD" w14:paraId="7C9ADEB9" w14:textId="77777777" w:rsidTr="009F56B2">
        <w:trPr>
          <w:trHeight w:val="312"/>
        </w:trPr>
        <w:tc>
          <w:tcPr>
            <w:tcW w:w="3685" w:type="dxa"/>
            <w:tcBorders>
              <w:top w:val="single" w:sz="4" w:space="0" w:color="auto"/>
              <w:left w:val="single" w:sz="4" w:space="0" w:color="auto"/>
              <w:right w:val="single" w:sz="4" w:space="0" w:color="auto"/>
            </w:tcBorders>
            <w:shd w:val="clear" w:color="auto" w:fill="auto"/>
            <w:noWrap/>
            <w:vAlign w:val="center"/>
          </w:tcPr>
          <w:p w14:paraId="7A9D9CA1" w14:textId="77777777" w:rsidR="009F56B2" w:rsidRPr="00163FE4" w:rsidRDefault="009F56B2" w:rsidP="009F56B2">
            <w:pPr>
              <w:spacing w:line="240" w:lineRule="auto"/>
              <w:ind w:firstLine="0"/>
              <w:jc w:val="center"/>
              <w:rPr>
                <w:rFonts w:asciiTheme="majorHAnsi" w:eastAsia="Times New Roman" w:hAnsiTheme="majorHAnsi" w:cstheme="majorHAnsi"/>
                <w:b/>
                <w:bCs/>
                <w:color w:val="000000"/>
                <w:sz w:val="22"/>
                <w:szCs w:val="22"/>
                <w:lang w:eastAsia="en-US"/>
              </w:rPr>
            </w:pPr>
            <w:r w:rsidRPr="00163FE4">
              <w:rPr>
                <w:rFonts w:asciiTheme="majorHAnsi" w:eastAsia="Times New Roman" w:hAnsiTheme="majorHAnsi" w:cstheme="majorHAnsi"/>
                <w:b/>
                <w:bCs/>
                <w:color w:val="000000"/>
                <w:sz w:val="22"/>
                <w:szCs w:val="22"/>
                <w:lang w:eastAsia="en-US"/>
              </w:rPr>
              <w:t>Precision Metrics</w:t>
            </w:r>
          </w:p>
        </w:tc>
        <w:tc>
          <w:tcPr>
            <w:tcW w:w="5400" w:type="dxa"/>
            <w:tcBorders>
              <w:top w:val="single" w:sz="4" w:space="0" w:color="auto"/>
              <w:left w:val="single" w:sz="4" w:space="0" w:color="auto"/>
              <w:right w:val="single" w:sz="4" w:space="0" w:color="auto"/>
            </w:tcBorders>
          </w:tcPr>
          <w:p w14:paraId="0B8EB3F8" w14:textId="77777777" w:rsidR="009F56B2" w:rsidRPr="00163FE4" w:rsidRDefault="009F56B2" w:rsidP="009F56B2">
            <w:pPr>
              <w:spacing w:line="240" w:lineRule="auto"/>
              <w:ind w:firstLine="0"/>
              <w:jc w:val="center"/>
              <w:rPr>
                <w:rFonts w:asciiTheme="majorHAnsi" w:eastAsia="Times New Roman" w:hAnsiTheme="majorHAnsi" w:cstheme="majorHAnsi"/>
                <w:b/>
                <w:bCs/>
                <w:color w:val="000000"/>
                <w:sz w:val="22"/>
                <w:szCs w:val="22"/>
                <w:lang w:eastAsia="en-US"/>
              </w:rPr>
            </w:pPr>
          </w:p>
        </w:tc>
      </w:tr>
      <w:tr w:rsidR="009F56B2" w:rsidRPr="00E17DCD" w14:paraId="02DB52A4" w14:textId="77777777" w:rsidTr="009F56B2">
        <w:trPr>
          <w:trHeight w:val="312"/>
        </w:trPr>
        <w:tc>
          <w:tcPr>
            <w:tcW w:w="3685" w:type="dxa"/>
            <w:tcBorders>
              <w:left w:val="single" w:sz="4" w:space="0" w:color="auto"/>
              <w:right w:val="single" w:sz="4" w:space="0" w:color="auto"/>
            </w:tcBorders>
            <w:shd w:val="clear" w:color="auto" w:fill="auto"/>
            <w:noWrap/>
            <w:vAlign w:val="center"/>
          </w:tcPr>
          <w:p w14:paraId="5C5F50CC" w14:textId="77777777" w:rsidR="009F56B2" w:rsidRPr="00163FE4"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 xml:space="preserve">Mean Absolute Percentage Error </w:t>
            </w:r>
          </w:p>
        </w:tc>
        <w:tc>
          <w:tcPr>
            <w:tcW w:w="5400" w:type="dxa"/>
            <w:tcBorders>
              <w:left w:val="single" w:sz="4" w:space="0" w:color="auto"/>
              <w:right w:val="single" w:sz="4" w:space="0" w:color="auto"/>
            </w:tcBorders>
          </w:tcPr>
          <w:p w14:paraId="32252357" w14:textId="77777777" w:rsidR="006C5A8F"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 xml:space="preserve">The mean of a set of absolute percentage sales errors </w:t>
            </w:r>
          </w:p>
          <w:p w14:paraId="4FAB8A09" w14:textId="55C99E0A" w:rsidR="009F56B2" w:rsidRPr="00163FE4" w:rsidRDefault="006C1AC0"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w:t>
            </w:r>
            <w:r w:rsidR="006C5A8F" w:rsidRPr="006C5A8F">
              <w:rPr>
                <w:rFonts w:asciiTheme="majorHAnsi" w:hAnsiTheme="majorHAnsi" w:cstheme="majorHAnsi"/>
                <w:sz w:val="22"/>
                <w:szCs w:val="22"/>
                <w:lang w:val="en"/>
              </w:rPr>
              <w:t>Steurer and Hill, 2020</w:t>
            </w:r>
            <w:r w:rsidRPr="00163FE4">
              <w:rPr>
                <w:rFonts w:asciiTheme="majorHAnsi" w:eastAsia="Times New Roman" w:hAnsiTheme="majorHAnsi" w:cstheme="majorHAnsi"/>
                <w:color w:val="000000"/>
                <w:sz w:val="22"/>
                <w:szCs w:val="22"/>
                <w:lang w:eastAsia="en-US"/>
              </w:rPr>
              <w:t>)</w:t>
            </w:r>
          </w:p>
        </w:tc>
      </w:tr>
      <w:tr w:rsidR="009F56B2" w:rsidRPr="00E17DCD" w14:paraId="48318575" w14:textId="77777777" w:rsidTr="009F56B2">
        <w:trPr>
          <w:trHeight w:val="312"/>
        </w:trPr>
        <w:tc>
          <w:tcPr>
            <w:tcW w:w="3685" w:type="dxa"/>
            <w:tcBorders>
              <w:left w:val="single" w:sz="4" w:space="0" w:color="auto"/>
              <w:right w:val="single" w:sz="4" w:space="0" w:color="auto"/>
            </w:tcBorders>
            <w:shd w:val="clear" w:color="auto" w:fill="auto"/>
            <w:noWrap/>
            <w:vAlign w:val="center"/>
            <w:hideMark/>
          </w:tcPr>
          <w:p w14:paraId="32FE091D" w14:textId="77777777" w:rsidR="009F56B2" w:rsidRPr="00163FE4"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Median Absolute Percentage Error (MAPE)</w:t>
            </w:r>
          </w:p>
        </w:tc>
        <w:tc>
          <w:tcPr>
            <w:tcW w:w="5400" w:type="dxa"/>
            <w:tcBorders>
              <w:left w:val="single" w:sz="4" w:space="0" w:color="auto"/>
              <w:right w:val="single" w:sz="4" w:space="0" w:color="auto"/>
            </w:tcBorders>
          </w:tcPr>
          <w:p w14:paraId="56B06578" w14:textId="77777777" w:rsidR="009F56B2" w:rsidRPr="00163FE4"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The median of a set of absolute percentage sales errors (Kirchmeyer and Staas, 2008)</w:t>
            </w:r>
          </w:p>
        </w:tc>
      </w:tr>
      <w:tr w:rsidR="009F56B2" w:rsidRPr="00E17DCD" w14:paraId="150EC89A" w14:textId="77777777" w:rsidTr="009F56B2">
        <w:trPr>
          <w:trHeight w:val="312"/>
        </w:trPr>
        <w:tc>
          <w:tcPr>
            <w:tcW w:w="3685" w:type="dxa"/>
            <w:tcBorders>
              <w:left w:val="single" w:sz="4" w:space="0" w:color="auto"/>
              <w:right w:val="single" w:sz="4" w:space="0" w:color="auto"/>
            </w:tcBorders>
            <w:shd w:val="clear" w:color="auto" w:fill="auto"/>
            <w:noWrap/>
            <w:vAlign w:val="center"/>
            <w:hideMark/>
          </w:tcPr>
          <w:p w14:paraId="2ED9C3AE" w14:textId="77777777" w:rsidR="009F56B2" w:rsidRPr="00163FE4"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 xml:space="preserve">Forecast Standard Deviation </w:t>
            </w:r>
          </w:p>
          <w:p w14:paraId="7334AC72" w14:textId="77777777" w:rsidR="009F56B2" w:rsidRPr="00163FE4"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(FSD)</w:t>
            </w:r>
          </w:p>
        </w:tc>
        <w:tc>
          <w:tcPr>
            <w:tcW w:w="5400" w:type="dxa"/>
            <w:tcBorders>
              <w:left w:val="single" w:sz="4" w:space="0" w:color="auto"/>
              <w:right w:val="single" w:sz="4" w:space="0" w:color="auto"/>
            </w:tcBorders>
          </w:tcPr>
          <w:p w14:paraId="46C88122" w14:textId="77777777" w:rsidR="009F56B2" w:rsidRPr="00163FE4"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The standard deviation of a set of percentage sales errors (Gayler, et. al., 2015)</w:t>
            </w:r>
          </w:p>
        </w:tc>
      </w:tr>
      <w:tr w:rsidR="009F56B2" w:rsidRPr="00E17DCD" w14:paraId="407CFDCA" w14:textId="77777777" w:rsidTr="009F56B2">
        <w:trPr>
          <w:trHeight w:val="312"/>
        </w:trPr>
        <w:tc>
          <w:tcPr>
            <w:tcW w:w="3685" w:type="dxa"/>
            <w:tcBorders>
              <w:top w:val="single" w:sz="4" w:space="0" w:color="auto"/>
              <w:left w:val="single" w:sz="4" w:space="0" w:color="auto"/>
              <w:right w:val="single" w:sz="4" w:space="0" w:color="auto"/>
            </w:tcBorders>
            <w:shd w:val="clear" w:color="auto" w:fill="auto"/>
            <w:noWrap/>
            <w:vAlign w:val="center"/>
          </w:tcPr>
          <w:p w14:paraId="733267DA" w14:textId="77777777" w:rsidR="009F56B2" w:rsidRPr="00163FE4" w:rsidRDefault="009F56B2" w:rsidP="009F56B2">
            <w:pPr>
              <w:spacing w:line="240" w:lineRule="auto"/>
              <w:ind w:firstLine="0"/>
              <w:jc w:val="center"/>
              <w:rPr>
                <w:rFonts w:asciiTheme="majorHAnsi" w:eastAsia="Times New Roman" w:hAnsiTheme="majorHAnsi" w:cstheme="majorHAnsi"/>
                <w:b/>
                <w:bCs/>
                <w:color w:val="000000"/>
                <w:sz w:val="22"/>
                <w:szCs w:val="22"/>
                <w:lang w:eastAsia="en-US"/>
              </w:rPr>
            </w:pPr>
            <w:r w:rsidRPr="00163FE4">
              <w:rPr>
                <w:rFonts w:asciiTheme="majorHAnsi" w:eastAsia="Times New Roman" w:hAnsiTheme="majorHAnsi" w:cstheme="majorHAnsi"/>
                <w:b/>
                <w:bCs/>
                <w:color w:val="000000"/>
                <w:sz w:val="22"/>
                <w:szCs w:val="22"/>
                <w:lang w:eastAsia="en-US"/>
              </w:rPr>
              <w:t>Measures of Accuracy at a Given Level of Precision</w:t>
            </w:r>
          </w:p>
        </w:tc>
        <w:tc>
          <w:tcPr>
            <w:tcW w:w="5400" w:type="dxa"/>
            <w:tcBorders>
              <w:top w:val="single" w:sz="4" w:space="0" w:color="auto"/>
              <w:left w:val="single" w:sz="4" w:space="0" w:color="auto"/>
              <w:right w:val="single" w:sz="4" w:space="0" w:color="auto"/>
            </w:tcBorders>
          </w:tcPr>
          <w:p w14:paraId="6FC700F7" w14:textId="77777777" w:rsidR="009F56B2" w:rsidRPr="00163FE4" w:rsidRDefault="009F56B2" w:rsidP="009F56B2">
            <w:pPr>
              <w:spacing w:line="240" w:lineRule="auto"/>
              <w:ind w:firstLine="0"/>
              <w:jc w:val="center"/>
              <w:rPr>
                <w:rFonts w:asciiTheme="majorHAnsi" w:eastAsia="Times New Roman" w:hAnsiTheme="majorHAnsi" w:cstheme="majorHAnsi"/>
                <w:b/>
                <w:bCs/>
                <w:color w:val="000000"/>
                <w:sz w:val="22"/>
                <w:szCs w:val="22"/>
                <w:lang w:eastAsia="en-US"/>
              </w:rPr>
            </w:pPr>
          </w:p>
        </w:tc>
      </w:tr>
      <w:tr w:rsidR="009F56B2" w:rsidRPr="00E17DCD" w14:paraId="662650D3" w14:textId="77777777" w:rsidTr="009F56B2">
        <w:trPr>
          <w:trHeight w:val="312"/>
        </w:trPr>
        <w:tc>
          <w:tcPr>
            <w:tcW w:w="3685" w:type="dxa"/>
            <w:tcBorders>
              <w:left w:val="single" w:sz="4" w:space="0" w:color="auto"/>
              <w:right w:val="single" w:sz="4" w:space="0" w:color="auto"/>
            </w:tcBorders>
            <w:shd w:val="clear" w:color="auto" w:fill="auto"/>
            <w:noWrap/>
            <w:vAlign w:val="center"/>
          </w:tcPr>
          <w:p w14:paraId="1621042E" w14:textId="272155AD" w:rsidR="009F56B2" w:rsidRPr="001A0BDE"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A0BDE">
              <w:rPr>
                <w:rFonts w:asciiTheme="majorHAnsi" w:eastAsia="Times New Roman" w:hAnsiTheme="majorHAnsi" w:cstheme="majorHAnsi"/>
                <w:color w:val="000000"/>
                <w:sz w:val="22"/>
                <w:szCs w:val="22"/>
                <w:lang w:eastAsia="en-US"/>
              </w:rPr>
              <w:t xml:space="preserve">Percent </w:t>
            </w:r>
            <w:r w:rsidR="001C3967">
              <w:rPr>
                <w:rFonts w:asciiTheme="majorHAnsi" w:eastAsia="Times New Roman" w:hAnsiTheme="majorHAnsi" w:cstheme="majorHAnsi"/>
                <w:color w:val="000000"/>
                <w:sz w:val="22"/>
                <w:szCs w:val="22"/>
                <w:lang w:eastAsia="en-US"/>
              </w:rPr>
              <w:t>(</w:t>
            </w:r>
            <w:r w:rsidRPr="001A0BDE">
              <w:rPr>
                <w:rFonts w:asciiTheme="majorHAnsi" w:eastAsia="Times New Roman" w:hAnsiTheme="majorHAnsi" w:cstheme="majorHAnsi"/>
                <w:color w:val="000000"/>
                <w:sz w:val="22"/>
                <w:szCs w:val="22"/>
                <w:lang w:eastAsia="en-US"/>
              </w:rPr>
              <w:t>Predicted</w:t>
            </w:r>
            <w:r w:rsidR="001C3967">
              <w:rPr>
                <w:rFonts w:asciiTheme="majorHAnsi" w:eastAsia="Times New Roman" w:hAnsiTheme="majorHAnsi" w:cstheme="majorHAnsi"/>
                <w:color w:val="000000"/>
                <w:sz w:val="22"/>
                <w:szCs w:val="22"/>
                <w:lang w:eastAsia="en-US"/>
              </w:rPr>
              <w:t>)</w:t>
            </w:r>
            <w:r w:rsidRPr="001A0BDE">
              <w:rPr>
                <w:rFonts w:asciiTheme="majorHAnsi" w:eastAsia="Times New Roman" w:hAnsiTheme="majorHAnsi" w:cstheme="majorHAnsi"/>
                <w:color w:val="000000"/>
                <w:sz w:val="22"/>
                <w:szCs w:val="22"/>
                <w:lang w:eastAsia="en-US"/>
              </w:rPr>
              <w:t xml:space="preserve"> Error </w:t>
            </w:r>
          </w:p>
          <w:p w14:paraId="0BAA0B5E" w14:textId="56734526" w:rsidR="009F56B2" w:rsidRPr="00163FE4"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(PE) bucket</w:t>
            </w:r>
          </w:p>
        </w:tc>
        <w:tc>
          <w:tcPr>
            <w:tcW w:w="5400" w:type="dxa"/>
            <w:tcBorders>
              <w:left w:val="single" w:sz="4" w:space="0" w:color="auto"/>
              <w:right w:val="single" w:sz="4" w:space="0" w:color="auto"/>
            </w:tcBorders>
          </w:tcPr>
          <w:p w14:paraId="1582C089" w14:textId="77777777" w:rsidR="009F56B2" w:rsidRPr="00163FE4"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 xml:space="preserve">The percent of AVM valuations within a specified </w:t>
            </w:r>
          </w:p>
          <w:p w14:paraId="542101C3" w14:textId="471D9D6F" w:rsidR="009F56B2" w:rsidRPr="00163FE4"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 xml:space="preserve">+/- percentage of selling prices </w:t>
            </w:r>
            <w:r w:rsidR="002D1936">
              <w:rPr>
                <w:rFonts w:asciiTheme="majorHAnsi" w:eastAsia="Times New Roman" w:hAnsiTheme="majorHAnsi" w:cstheme="majorHAnsi"/>
                <w:color w:val="000000"/>
                <w:sz w:val="22"/>
                <w:szCs w:val="22"/>
                <w:lang w:eastAsia="en-US"/>
              </w:rPr>
              <w:t>(MBA 2019;</w:t>
            </w:r>
          </w:p>
          <w:p w14:paraId="114D864F" w14:textId="562D8670" w:rsidR="009F56B2" w:rsidRPr="00163FE4" w:rsidRDefault="009F56B2" w:rsidP="009F56B2">
            <w:pPr>
              <w:spacing w:line="240" w:lineRule="auto"/>
              <w:ind w:firstLine="0"/>
              <w:jc w:val="center"/>
              <w:rPr>
                <w:rFonts w:asciiTheme="majorHAnsi" w:eastAsia="Times New Roman" w:hAnsiTheme="majorHAnsi" w:cstheme="majorHAnsi"/>
                <w:b/>
                <w:bCs/>
                <w:color w:val="000000"/>
                <w:sz w:val="22"/>
                <w:szCs w:val="22"/>
                <w:lang w:eastAsia="en-US"/>
              </w:rPr>
            </w:pPr>
            <w:r w:rsidRPr="00163FE4">
              <w:rPr>
                <w:rFonts w:asciiTheme="majorHAnsi" w:eastAsia="Times New Roman" w:hAnsiTheme="majorHAnsi" w:cstheme="majorHAnsi"/>
                <w:color w:val="000000"/>
                <w:sz w:val="22"/>
                <w:szCs w:val="22"/>
                <w:lang w:eastAsia="en-US"/>
              </w:rPr>
              <w:t>Kirchmeyer, 2004; CoreLogic, 2011)</w:t>
            </w:r>
          </w:p>
        </w:tc>
      </w:tr>
      <w:tr w:rsidR="009F56B2" w:rsidRPr="00E17DCD" w14:paraId="3EF70ED6" w14:textId="77777777" w:rsidTr="009F56B2">
        <w:trPr>
          <w:trHeight w:val="312"/>
        </w:trPr>
        <w:tc>
          <w:tcPr>
            <w:tcW w:w="3685" w:type="dxa"/>
            <w:tcBorders>
              <w:left w:val="single" w:sz="4" w:space="0" w:color="auto"/>
              <w:right w:val="single" w:sz="4" w:space="0" w:color="auto"/>
            </w:tcBorders>
            <w:shd w:val="clear" w:color="auto" w:fill="auto"/>
            <w:noWrap/>
            <w:vAlign w:val="center"/>
          </w:tcPr>
          <w:p w14:paraId="66F79D78" w14:textId="77777777" w:rsidR="009F56B2" w:rsidRPr="00163FE4"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Failure Rate (FR)</w:t>
            </w:r>
          </w:p>
        </w:tc>
        <w:tc>
          <w:tcPr>
            <w:tcW w:w="5400" w:type="dxa"/>
            <w:tcBorders>
              <w:left w:val="single" w:sz="4" w:space="0" w:color="auto"/>
              <w:right w:val="single" w:sz="4" w:space="0" w:color="auto"/>
            </w:tcBorders>
          </w:tcPr>
          <w:p w14:paraId="4460F73C" w14:textId="44E08FC9" w:rsidR="009F56B2" w:rsidRPr="00163FE4"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The complement of the PE bucket</w:t>
            </w:r>
          </w:p>
          <w:p w14:paraId="56F98F30" w14:textId="39B04F94" w:rsidR="009F56B2" w:rsidRPr="00163FE4" w:rsidRDefault="009F56B2" w:rsidP="009F56B2">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 xml:space="preserve">(Ecker </w:t>
            </w:r>
            <w:r w:rsidRPr="00163FE4">
              <w:rPr>
                <w:rFonts w:asciiTheme="majorHAnsi" w:eastAsia="Times New Roman" w:hAnsiTheme="majorHAnsi" w:cstheme="majorHAnsi"/>
                <w:i/>
                <w:iCs/>
                <w:color w:val="000000"/>
                <w:sz w:val="22"/>
                <w:szCs w:val="22"/>
                <w:lang w:eastAsia="en-US"/>
              </w:rPr>
              <w:t>et. al.,</w:t>
            </w:r>
            <w:r w:rsidRPr="00163FE4">
              <w:rPr>
                <w:rFonts w:asciiTheme="majorHAnsi" w:eastAsia="Times New Roman" w:hAnsiTheme="majorHAnsi" w:cstheme="majorHAnsi"/>
                <w:color w:val="000000"/>
                <w:sz w:val="22"/>
                <w:szCs w:val="22"/>
                <w:lang w:eastAsia="en-US"/>
              </w:rPr>
              <w:t xml:space="preserve"> 20</w:t>
            </w:r>
            <w:r w:rsidR="00527583">
              <w:rPr>
                <w:rFonts w:asciiTheme="majorHAnsi" w:eastAsia="Times New Roman" w:hAnsiTheme="majorHAnsi" w:cstheme="majorHAnsi"/>
                <w:color w:val="000000"/>
                <w:sz w:val="22"/>
                <w:szCs w:val="22"/>
                <w:lang w:eastAsia="en-US"/>
              </w:rPr>
              <w:t>2</w:t>
            </w:r>
            <w:r w:rsidR="00342633">
              <w:rPr>
                <w:rFonts w:asciiTheme="majorHAnsi" w:eastAsia="Times New Roman" w:hAnsiTheme="majorHAnsi" w:cstheme="majorHAnsi"/>
                <w:color w:val="000000"/>
                <w:sz w:val="22"/>
                <w:szCs w:val="22"/>
                <w:lang w:eastAsia="en-US"/>
              </w:rPr>
              <w:t>1</w:t>
            </w:r>
            <w:r w:rsidRPr="00163FE4">
              <w:rPr>
                <w:rFonts w:asciiTheme="majorHAnsi" w:eastAsia="Times New Roman" w:hAnsiTheme="majorHAnsi" w:cstheme="majorHAnsi"/>
                <w:color w:val="000000"/>
                <w:sz w:val="22"/>
                <w:szCs w:val="22"/>
                <w:lang w:eastAsia="en-US"/>
              </w:rPr>
              <w:t>)</w:t>
            </w:r>
          </w:p>
        </w:tc>
      </w:tr>
      <w:tr w:rsidR="00DD159F" w:rsidRPr="00E17DCD" w14:paraId="35826449" w14:textId="77777777" w:rsidTr="009F56B2">
        <w:trPr>
          <w:trHeight w:val="312"/>
        </w:trPr>
        <w:tc>
          <w:tcPr>
            <w:tcW w:w="3685" w:type="dxa"/>
            <w:tcBorders>
              <w:left w:val="single" w:sz="4" w:space="0" w:color="auto"/>
              <w:right w:val="single" w:sz="4" w:space="0" w:color="auto"/>
            </w:tcBorders>
            <w:shd w:val="clear" w:color="auto" w:fill="auto"/>
            <w:noWrap/>
            <w:vAlign w:val="center"/>
          </w:tcPr>
          <w:p w14:paraId="2700FEE3" w14:textId="77777777" w:rsidR="00DD159F" w:rsidRPr="00163FE4" w:rsidRDefault="00DD159F" w:rsidP="00DD159F">
            <w:pPr>
              <w:spacing w:line="240" w:lineRule="auto"/>
              <w:ind w:firstLine="0"/>
              <w:jc w:val="center"/>
              <w:rPr>
                <w:rFonts w:asciiTheme="majorHAnsi" w:hAnsiTheme="majorHAnsi" w:cstheme="majorHAnsi"/>
                <w:sz w:val="22"/>
                <w:szCs w:val="22"/>
              </w:rPr>
            </w:pPr>
            <w:r w:rsidRPr="00163FE4">
              <w:rPr>
                <w:rFonts w:asciiTheme="majorHAnsi" w:eastAsia="Times New Roman" w:hAnsiTheme="majorHAnsi" w:cstheme="majorHAnsi"/>
                <w:color w:val="000000"/>
                <w:sz w:val="22"/>
                <w:szCs w:val="22"/>
                <w:lang w:eastAsia="en-US"/>
              </w:rPr>
              <w:t xml:space="preserve">Failure Magnitude (FMag)  </w:t>
            </w:r>
          </w:p>
        </w:tc>
        <w:tc>
          <w:tcPr>
            <w:tcW w:w="5400" w:type="dxa"/>
            <w:tcBorders>
              <w:left w:val="single" w:sz="4" w:space="0" w:color="auto"/>
              <w:right w:val="single" w:sz="4" w:space="0" w:color="auto"/>
            </w:tcBorders>
          </w:tcPr>
          <w:p w14:paraId="490DE7CC" w14:textId="0D58A423" w:rsidR="00DD159F" w:rsidRPr="00163FE4" w:rsidRDefault="00DD159F" w:rsidP="00DD159F">
            <w:pPr>
              <w:spacing w:line="240" w:lineRule="auto"/>
              <w:ind w:firstLine="0"/>
              <w:jc w:val="center"/>
              <w:rPr>
                <w:rFonts w:asciiTheme="majorHAnsi" w:eastAsia="Times New Roman" w:hAnsiTheme="majorHAnsi" w:cstheme="majorHAnsi"/>
                <w:color w:val="000000"/>
                <w:sz w:val="22"/>
                <w:szCs w:val="22"/>
                <w:highlight w:val="yellow"/>
                <w:lang w:eastAsia="en-US"/>
              </w:rPr>
            </w:pPr>
            <w:r w:rsidRPr="00DD159F">
              <w:rPr>
                <w:rFonts w:asciiTheme="majorHAnsi" w:eastAsia="Times New Roman" w:hAnsiTheme="majorHAnsi" w:cstheme="majorHAnsi"/>
                <w:color w:val="000000"/>
                <w:sz w:val="22"/>
                <w:szCs w:val="22"/>
                <w:lang w:eastAsia="en-US"/>
              </w:rPr>
              <w:t>The mean absolute percentage sales error for poorly predicted sales</w:t>
            </w:r>
            <w:r w:rsidRPr="00163FE4">
              <w:rPr>
                <w:rFonts w:asciiTheme="majorHAnsi" w:eastAsia="Times New Roman" w:hAnsiTheme="majorHAnsi" w:cstheme="majorHAnsi"/>
                <w:color w:val="000000"/>
                <w:sz w:val="22"/>
                <w:szCs w:val="22"/>
                <w:lang w:eastAsia="en-US"/>
              </w:rPr>
              <w:t xml:space="preserve"> (Ecker </w:t>
            </w:r>
            <w:r w:rsidRPr="00163FE4">
              <w:rPr>
                <w:rFonts w:asciiTheme="majorHAnsi" w:eastAsia="Times New Roman" w:hAnsiTheme="majorHAnsi" w:cstheme="majorHAnsi"/>
                <w:i/>
                <w:iCs/>
                <w:color w:val="000000"/>
                <w:sz w:val="22"/>
                <w:szCs w:val="22"/>
                <w:lang w:eastAsia="en-US"/>
              </w:rPr>
              <w:t>et. al.,</w:t>
            </w:r>
            <w:r w:rsidRPr="00163FE4">
              <w:rPr>
                <w:rFonts w:asciiTheme="majorHAnsi" w:eastAsia="Times New Roman" w:hAnsiTheme="majorHAnsi" w:cstheme="majorHAnsi"/>
                <w:color w:val="000000"/>
                <w:sz w:val="22"/>
                <w:szCs w:val="22"/>
                <w:lang w:eastAsia="en-US"/>
              </w:rPr>
              <w:t xml:space="preserve"> 20</w:t>
            </w:r>
            <w:r w:rsidR="00527583">
              <w:rPr>
                <w:rFonts w:asciiTheme="majorHAnsi" w:eastAsia="Times New Roman" w:hAnsiTheme="majorHAnsi" w:cstheme="majorHAnsi"/>
                <w:color w:val="000000"/>
                <w:sz w:val="22"/>
                <w:szCs w:val="22"/>
                <w:lang w:eastAsia="en-US"/>
              </w:rPr>
              <w:t>2</w:t>
            </w:r>
            <w:r w:rsidR="00342633">
              <w:rPr>
                <w:rFonts w:asciiTheme="majorHAnsi" w:eastAsia="Times New Roman" w:hAnsiTheme="majorHAnsi" w:cstheme="majorHAnsi"/>
                <w:color w:val="000000"/>
                <w:sz w:val="22"/>
                <w:szCs w:val="22"/>
                <w:lang w:eastAsia="en-US"/>
              </w:rPr>
              <w:t>1</w:t>
            </w:r>
            <w:r w:rsidRPr="00163FE4">
              <w:rPr>
                <w:rFonts w:asciiTheme="majorHAnsi" w:eastAsia="Times New Roman" w:hAnsiTheme="majorHAnsi" w:cstheme="majorHAnsi"/>
                <w:color w:val="000000"/>
                <w:sz w:val="22"/>
                <w:szCs w:val="22"/>
                <w:lang w:eastAsia="en-US"/>
              </w:rPr>
              <w:t>)</w:t>
            </w:r>
          </w:p>
        </w:tc>
      </w:tr>
      <w:tr w:rsidR="00DD159F" w:rsidRPr="00E17DCD" w14:paraId="7C6ECFC3" w14:textId="77777777" w:rsidTr="009F56B2">
        <w:trPr>
          <w:trHeight w:val="312"/>
        </w:trPr>
        <w:tc>
          <w:tcPr>
            <w:tcW w:w="3685" w:type="dxa"/>
            <w:tcBorders>
              <w:left w:val="single" w:sz="4" w:space="0" w:color="auto"/>
              <w:right w:val="single" w:sz="4" w:space="0" w:color="auto"/>
            </w:tcBorders>
            <w:shd w:val="clear" w:color="auto" w:fill="auto"/>
            <w:noWrap/>
            <w:vAlign w:val="center"/>
          </w:tcPr>
          <w:p w14:paraId="664E22ED" w14:textId="77777777" w:rsidR="00DD159F" w:rsidRPr="00163FE4" w:rsidRDefault="00DD159F" w:rsidP="00DD159F">
            <w:pPr>
              <w:spacing w:line="240" w:lineRule="auto"/>
              <w:ind w:firstLine="0"/>
              <w:jc w:val="center"/>
              <w:rPr>
                <w:rFonts w:asciiTheme="majorHAnsi" w:hAnsiTheme="majorHAnsi" w:cstheme="majorHAnsi"/>
                <w:sz w:val="22"/>
                <w:szCs w:val="22"/>
              </w:rPr>
            </w:pPr>
            <w:r w:rsidRPr="00163FE4">
              <w:rPr>
                <w:rFonts w:asciiTheme="majorHAnsi" w:hAnsiTheme="majorHAnsi" w:cstheme="majorHAnsi"/>
                <w:sz w:val="22"/>
                <w:szCs w:val="22"/>
              </w:rPr>
              <w:t xml:space="preserve">Failure </w:t>
            </w:r>
            <w:r w:rsidRPr="00163FE4">
              <w:rPr>
                <w:rFonts w:asciiTheme="majorHAnsi" w:eastAsia="Times New Roman" w:hAnsiTheme="majorHAnsi" w:cstheme="majorHAnsi"/>
                <w:color w:val="000000"/>
                <w:sz w:val="22"/>
                <w:szCs w:val="22"/>
                <w:lang w:eastAsia="en-US"/>
              </w:rPr>
              <w:t>MAPE (FMAPE)</w:t>
            </w:r>
          </w:p>
        </w:tc>
        <w:tc>
          <w:tcPr>
            <w:tcW w:w="5400" w:type="dxa"/>
            <w:tcBorders>
              <w:left w:val="single" w:sz="4" w:space="0" w:color="auto"/>
              <w:right w:val="single" w:sz="4" w:space="0" w:color="auto"/>
            </w:tcBorders>
          </w:tcPr>
          <w:p w14:paraId="0EFF8A71" w14:textId="60578CCF" w:rsidR="00DD159F" w:rsidRPr="00163FE4" w:rsidRDefault="00DD159F" w:rsidP="00DD159F">
            <w:pPr>
              <w:spacing w:line="240" w:lineRule="auto"/>
              <w:ind w:firstLine="0"/>
              <w:jc w:val="center"/>
              <w:rPr>
                <w:rFonts w:asciiTheme="majorHAnsi" w:hAnsiTheme="majorHAnsi" w:cstheme="majorHAnsi"/>
                <w:sz w:val="22"/>
                <w:szCs w:val="22"/>
              </w:rPr>
            </w:pPr>
            <w:r w:rsidRPr="00DD159F">
              <w:rPr>
                <w:rFonts w:asciiTheme="majorHAnsi" w:eastAsia="Times New Roman" w:hAnsiTheme="majorHAnsi" w:cstheme="majorHAnsi"/>
                <w:color w:val="000000"/>
                <w:sz w:val="22"/>
                <w:szCs w:val="22"/>
                <w:lang w:eastAsia="en-US"/>
              </w:rPr>
              <w:t>The median absolute percentage sales error for poorly predicted sales</w:t>
            </w:r>
            <w:r w:rsidRPr="00163FE4">
              <w:rPr>
                <w:rFonts w:asciiTheme="majorHAnsi" w:eastAsia="Times New Roman" w:hAnsiTheme="majorHAnsi" w:cstheme="majorHAnsi"/>
                <w:color w:val="000000"/>
                <w:sz w:val="22"/>
                <w:szCs w:val="22"/>
                <w:lang w:eastAsia="en-US"/>
              </w:rPr>
              <w:t xml:space="preserve"> (Ecker </w:t>
            </w:r>
            <w:r w:rsidRPr="00163FE4">
              <w:rPr>
                <w:rFonts w:asciiTheme="majorHAnsi" w:eastAsia="Times New Roman" w:hAnsiTheme="majorHAnsi" w:cstheme="majorHAnsi"/>
                <w:i/>
                <w:iCs/>
                <w:color w:val="000000"/>
                <w:sz w:val="22"/>
                <w:szCs w:val="22"/>
                <w:lang w:eastAsia="en-US"/>
              </w:rPr>
              <w:t>et. al.,</w:t>
            </w:r>
            <w:r w:rsidRPr="00163FE4">
              <w:rPr>
                <w:rFonts w:asciiTheme="majorHAnsi" w:eastAsia="Times New Roman" w:hAnsiTheme="majorHAnsi" w:cstheme="majorHAnsi"/>
                <w:color w:val="000000"/>
                <w:sz w:val="22"/>
                <w:szCs w:val="22"/>
                <w:lang w:eastAsia="en-US"/>
              </w:rPr>
              <w:t xml:space="preserve"> 20</w:t>
            </w:r>
            <w:r w:rsidR="00527583">
              <w:rPr>
                <w:rFonts w:asciiTheme="majorHAnsi" w:eastAsia="Times New Roman" w:hAnsiTheme="majorHAnsi" w:cstheme="majorHAnsi"/>
                <w:color w:val="000000"/>
                <w:sz w:val="22"/>
                <w:szCs w:val="22"/>
                <w:lang w:eastAsia="en-US"/>
              </w:rPr>
              <w:t>2</w:t>
            </w:r>
            <w:r w:rsidR="00342633">
              <w:rPr>
                <w:rFonts w:asciiTheme="majorHAnsi" w:eastAsia="Times New Roman" w:hAnsiTheme="majorHAnsi" w:cstheme="majorHAnsi"/>
                <w:color w:val="000000"/>
                <w:sz w:val="22"/>
                <w:szCs w:val="22"/>
                <w:lang w:eastAsia="en-US"/>
              </w:rPr>
              <w:t>1</w:t>
            </w:r>
            <w:r w:rsidRPr="00163FE4">
              <w:rPr>
                <w:rFonts w:asciiTheme="majorHAnsi" w:eastAsia="Times New Roman" w:hAnsiTheme="majorHAnsi" w:cstheme="majorHAnsi"/>
                <w:color w:val="000000"/>
                <w:sz w:val="22"/>
                <w:szCs w:val="22"/>
                <w:lang w:eastAsia="en-US"/>
              </w:rPr>
              <w:t>)</w:t>
            </w:r>
          </w:p>
        </w:tc>
      </w:tr>
      <w:tr w:rsidR="00DD159F" w:rsidRPr="00E17DCD" w14:paraId="0BDC88A8" w14:textId="77777777" w:rsidTr="009F56B2">
        <w:trPr>
          <w:trHeight w:val="312"/>
        </w:trPr>
        <w:tc>
          <w:tcPr>
            <w:tcW w:w="3685" w:type="dxa"/>
            <w:tcBorders>
              <w:left w:val="single" w:sz="4" w:space="0" w:color="auto"/>
              <w:right w:val="single" w:sz="4" w:space="0" w:color="auto"/>
            </w:tcBorders>
            <w:shd w:val="clear" w:color="auto" w:fill="auto"/>
            <w:noWrap/>
            <w:vAlign w:val="center"/>
          </w:tcPr>
          <w:p w14:paraId="42256D51" w14:textId="77777777" w:rsidR="00DD159F" w:rsidRPr="00163FE4" w:rsidRDefault="00DD159F" w:rsidP="00DD159F">
            <w:pPr>
              <w:spacing w:line="240" w:lineRule="auto"/>
              <w:ind w:firstLine="0"/>
              <w:jc w:val="center"/>
              <w:rPr>
                <w:rFonts w:asciiTheme="majorHAnsi" w:hAnsiTheme="majorHAnsi" w:cstheme="majorHAnsi"/>
                <w:sz w:val="22"/>
                <w:szCs w:val="22"/>
              </w:rPr>
            </w:pPr>
            <w:r w:rsidRPr="00163FE4">
              <w:rPr>
                <w:rFonts w:asciiTheme="majorHAnsi" w:hAnsiTheme="majorHAnsi" w:cstheme="majorHAnsi"/>
                <w:sz w:val="22"/>
                <w:szCs w:val="22"/>
              </w:rPr>
              <w:t>Right Tail 20% (RT20)</w:t>
            </w:r>
          </w:p>
        </w:tc>
        <w:tc>
          <w:tcPr>
            <w:tcW w:w="5400" w:type="dxa"/>
            <w:tcBorders>
              <w:left w:val="single" w:sz="4" w:space="0" w:color="auto"/>
              <w:right w:val="single" w:sz="4" w:space="0" w:color="auto"/>
            </w:tcBorders>
          </w:tcPr>
          <w:p w14:paraId="30DF9178" w14:textId="77777777" w:rsidR="00DD159F" w:rsidRPr="00163FE4" w:rsidRDefault="00DD159F" w:rsidP="00DD159F">
            <w:pPr>
              <w:spacing w:line="240" w:lineRule="auto"/>
              <w:ind w:firstLine="0"/>
              <w:jc w:val="center"/>
              <w:rPr>
                <w:rFonts w:asciiTheme="majorHAnsi" w:hAnsiTheme="majorHAnsi" w:cstheme="majorHAnsi"/>
                <w:sz w:val="22"/>
                <w:szCs w:val="22"/>
              </w:rPr>
            </w:pPr>
            <w:r w:rsidRPr="00163FE4">
              <w:rPr>
                <w:rFonts w:asciiTheme="majorHAnsi" w:hAnsiTheme="majorHAnsi" w:cstheme="majorHAnsi"/>
                <w:sz w:val="22"/>
                <w:szCs w:val="22"/>
              </w:rPr>
              <w:t>The percentage of AVM valuations more than 20% higher than their corresponding selling prices (AVMetrics, 2018)</w:t>
            </w:r>
          </w:p>
        </w:tc>
      </w:tr>
      <w:tr w:rsidR="00DD159F" w:rsidRPr="00E17DCD" w14:paraId="1B5B47F3" w14:textId="77777777" w:rsidTr="009F56B2">
        <w:trPr>
          <w:trHeight w:val="312"/>
        </w:trPr>
        <w:tc>
          <w:tcPr>
            <w:tcW w:w="3685" w:type="dxa"/>
            <w:tcBorders>
              <w:left w:val="single" w:sz="4" w:space="0" w:color="auto"/>
              <w:right w:val="single" w:sz="4" w:space="0" w:color="auto"/>
            </w:tcBorders>
            <w:shd w:val="clear" w:color="auto" w:fill="auto"/>
            <w:noWrap/>
            <w:vAlign w:val="center"/>
          </w:tcPr>
          <w:p w14:paraId="26734344" w14:textId="77777777" w:rsidR="00DD159F" w:rsidRPr="00163FE4" w:rsidRDefault="00DD159F" w:rsidP="00DD159F">
            <w:pPr>
              <w:spacing w:line="240" w:lineRule="auto"/>
              <w:ind w:firstLine="0"/>
              <w:jc w:val="center"/>
              <w:rPr>
                <w:rFonts w:asciiTheme="majorHAnsi" w:hAnsiTheme="majorHAnsi" w:cstheme="majorHAnsi"/>
                <w:sz w:val="22"/>
                <w:szCs w:val="22"/>
              </w:rPr>
            </w:pPr>
            <w:bookmarkStart w:id="16" w:name="_Hlk60404660"/>
            <w:r w:rsidRPr="00163FE4">
              <w:rPr>
                <w:rFonts w:asciiTheme="majorHAnsi" w:hAnsiTheme="majorHAnsi" w:cstheme="majorHAnsi"/>
                <w:sz w:val="22"/>
                <w:szCs w:val="22"/>
              </w:rPr>
              <w:t>+/- 1×FSD</w:t>
            </w:r>
          </w:p>
        </w:tc>
        <w:tc>
          <w:tcPr>
            <w:tcW w:w="5400" w:type="dxa"/>
            <w:tcBorders>
              <w:left w:val="single" w:sz="4" w:space="0" w:color="auto"/>
              <w:right w:val="single" w:sz="4" w:space="0" w:color="auto"/>
            </w:tcBorders>
          </w:tcPr>
          <w:p w14:paraId="2EE83DF4" w14:textId="77777777" w:rsidR="00DD159F" w:rsidRPr="00163FE4" w:rsidRDefault="00DD159F" w:rsidP="00DD159F">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 xml:space="preserve">The percent of AVM valuations within one FSD </w:t>
            </w:r>
          </w:p>
          <w:p w14:paraId="1E9D809A" w14:textId="77777777" w:rsidR="00DD159F" w:rsidRPr="00163FE4" w:rsidRDefault="00DD159F" w:rsidP="00DD159F">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of selling prices (</w:t>
            </w:r>
            <w:r w:rsidRPr="00163FE4">
              <w:rPr>
                <w:rFonts w:asciiTheme="majorHAnsi" w:hAnsiTheme="majorHAnsi" w:cstheme="majorHAnsi"/>
                <w:sz w:val="22"/>
                <w:szCs w:val="22"/>
              </w:rPr>
              <w:t>AVMetrics, 2018</w:t>
            </w:r>
            <w:r w:rsidRPr="00163FE4">
              <w:rPr>
                <w:rFonts w:asciiTheme="majorHAnsi" w:eastAsia="Times New Roman" w:hAnsiTheme="majorHAnsi" w:cstheme="majorHAnsi"/>
                <w:color w:val="000000"/>
                <w:sz w:val="22"/>
                <w:szCs w:val="22"/>
                <w:lang w:eastAsia="en-US"/>
              </w:rPr>
              <w:t>)</w:t>
            </w:r>
          </w:p>
        </w:tc>
      </w:tr>
      <w:bookmarkEnd w:id="16"/>
      <w:tr w:rsidR="00DD159F" w:rsidRPr="00E17DCD" w14:paraId="33DC3221" w14:textId="77777777" w:rsidTr="009F56B2">
        <w:trPr>
          <w:trHeight w:val="312"/>
        </w:trPr>
        <w:tc>
          <w:tcPr>
            <w:tcW w:w="3685" w:type="dxa"/>
            <w:tcBorders>
              <w:top w:val="single" w:sz="4" w:space="0" w:color="auto"/>
              <w:left w:val="single" w:sz="4" w:space="0" w:color="auto"/>
              <w:right w:val="single" w:sz="4" w:space="0" w:color="auto"/>
            </w:tcBorders>
            <w:shd w:val="clear" w:color="auto" w:fill="auto"/>
            <w:noWrap/>
            <w:vAlign w:val="center"/>
          </w:tcPr>
          <w:p w14:paraId="17E3EB01" w14:textId="7E01E0DA" w:rsidR="00DD159F" w:rsidRPr="00163FE4" w:rsidRDefault="005A22F6" w:rsidP="00DD159F">
            <w:pPr>
              <w:spacing w:line="240" w:lineRule="auto"/>
              <w:ind w:firstLine="0"/>
              <w:jc w:val="center"/>
              <w:rPr>
                <w:rFonts w:asciiTheme="majorHAnsi" w:hAnsiTheme="majorHAnsi" w:cstheme="majorHAnsi"/>
                <w:b/>
                <w:bCs/>
                <w:sz w:val="22"/>
                <w:szCs w:val="22"/>
              </w:rPr>
            </w:pPr>
            <w:r>
              <w:rPr>
                <w:rFonts w:asciiTheme="majorHAnsi" w:hAnsiTheme="majorHAnsi" w:cstheme="majorHAnsi"/>
                <w:b/>
                <w:bCs/>
                <w:sz w:val="22"/>
                <w:szCs w:val="22"/>
              </w:rPr>
              <w:t xml:space="preserve">IAAO Ratio </w:t>
            </w:r>
            <w:r w:rsidR="00DD159F" w:rsidRPr="00163FE4">
              <w:rPr>
                <w:rFonts w:asciiTheme="majorHAnsi" w:hAnsiTheme="majorHAnsi" w:cstheme="majorHAnsi"/>
                <w:b/>
                <w:bCs/>
                <w:sz w:val="22"/>
                <w:szCs w:val="22"/>
              </w:rPr>
              <w:t>Metrics</w:t>
            </w:r>
          </w:p>
        </w:tc>
        <w:tc>
          <w:tcPr>
            <w:tcW w:w="5400" w:type="dxa"/>
            <w:tcBorders>
              <w:top w:val="single" w:sz="4" w:space="0" w:color="auto"/>
              <w:left w:val="single" w:sz="4" w:space="0" w:color="auto"/>
              <w:right w:val="single" w:sz="4" w:space="0" w:color="auto"/>
            </w:tcBorders>
          </w:tcPr>
          <w:p w14:paraId="1DBB41E8" w14:textId="77777777" w:rsidR="00DD159F" w:rsidRPr="00163FE4" w:rsidRDefault="00DD159F" w:rsidP="00DD159F">
            <w:pPr>
              <w:spacing w:line="240" w:lineRule="auto"/>
              <w:ind w:firstLine="0"/>
              <w:jc w:val="center"/>
              <w:rPr>
                <w:rFonts w:asciiTheme="majorHAnsi" w:hAnsiTheme="majorHAnsi" w:cstheme="majorHAnsi"/>
                <w:b/>
                <w:bCs/>
                <w:sz w:val="22"/>
                <w:szCs w:val="22"/>
              </w:rPr>
            </w:pPr>
          </w:p>
        </w:tc>
      </w:tr>
      <w:tr w:rsidR="00DD159F" w:rsidRPr="00E17DCD" w14:paraId="0A7202E1" w14:textId="77777777" w:rsidTr="009F56B2">
        <w:trPr>
          <w:trHeight w:val="312"/>
        </w:trPr>
        <w:tc>
          <w:tcPr>
            <w:tcW w:w="3685" w:type="dxa"/>
            <w:tcBorders>
              <w:left w:val="single" w:sz="4" w:space="0" w:color="auto"/>
              <w:right w:val="single" w:sz="4" w:space="0" w:color="auto"/>
            </w:tcBorders>
            <w:shd w:val="clear" w:color="auto" w:fill="auto"/>
            <w:noWrap/>
            <w:vAlign w:val="center"/>
            <w:hideMark/>
          </w:tcPr>
          <w:p w14:paraId="7F6B4872" w14:textId="77777777" w:rsidR="00CA0A25" w:rsidRPr="00163FE4" w:rsidRDefault="00DD159F" w:rsidP="00DD159F">
            <w:pPr>
              <w:spacing w:line="240" w:lineRule="auto"/>
              <w:ind w:firstLine="0"/>
              <w:jc w:val="center"/>
              <w:rPr>
                <w:rFonts w:asciiTheme="majorHAnsi" w:hAnsiTheme="majorHAnsi" w:cstheme="majorHAnsi"/>
                <w:sz w:val="22"/>
                <w:szCs w:val="22"/>
              </w:rPr>
            </w:pPr>
            <w:r w:rsidRPr="00163FE4">
              <w:rPr>
                <w:rFonts w:asciiTheme="majorHAnsi" w:hAnsiTheme="majorHAnsi" w:cstheme="majorHAnsi"/>
                <w:sz w:val="22"/>
                <w:szCs w:val="22"/>
              </w:rPr>
              <w:t xml:space="preserve">Coefficient of Variation </w:t>
            </w:r>
          </w:p>
          <w:p w14:paraId="217BF574" w14:textId="57A566F2" w:rsidR="00DD159F" w:rsidRPr="00163FE4" w:rsidRDefault="00DD159F" w:rsidP="00DD159F">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hAnsiTheme="majorHAnsi" w:cstheme="majorHAnsi"/>
                <w:sz w:val="22"/>
                <w:szCs w:val="22"/>
              </w:rPr>
              <w:t>(COV)</w:t>
            </w:r>
          </w:p>
        </w:tc>
        <w:tc>
          <w:tcPr>
            <w:tcW w:w="5400" w:type="dxa"/>
            <w:tcBorders>
              <w:left w:val="single" w:sz="4" w:space="0" w:color="auto"/>
              <w:right w:val="single" w:sz="4" w:space="0" w:color="auto"/>
            </w:tcBorders>
          </w:tcPr>
          <w:p w14:paraId="2B843856" w14:textId="77777777" w:rsidR="00DD159F" w:rsidRPr="00163FE4" w:rsidRDefault="00DD159F" w:rsidP="00DD159F">
            <w:pPr>
              <w:spacing w:line="240" w:lineRule="auto"/>
              <w:ind w:firstLine="0"/>
              <w:jc w:val="center"/>
              <w:rPr>
                <w:rFonts w:asciiTheme="majorHAnsi" w:hAnsiTheme="majorHAnsi" w:cstheme="majorHAnsi"/>
                <w:sz w:val="22"/>
                <w:szCs w:val="22"/>
              </w:rPr>
            </w:pPr>
            <w:r w:rsidRPr="00163FE4">
              <w:rPr>
                <w:rFonts w:asciiTheme="majorHAnsi" w:hAnsiTheme="majorHAnsi" w:cstheme="majorHAnsi"/>
                <w:sz w:val="22"/>
                <w:szCs w:val="22"/>
              </w:rPr>
              <w:t>The standard deviation divided by the mean AVM valuation-to-price ratio (IAAO, 2018)</w:t>
            </w:r>
          </w:p>
        </w:tc>
      </w:tr>
      <w:tr w:rsidR="00DD159F" w:rsidRPr="00E17DCD" w14:paraId="65BEEBBC" w14:textId="77777777" w:rsidTr="009F56B2">
        <w:trPr>
          <w:trHeight w:val="312"/>
        </w:trPr>
        <w:tc>
          <w:tcPr>
            <w:tcW w:w="3685" w:type="dxa"/>
            <w:tcBorders>
              <w:left w:val="single" w:sz="4" w:space="0" w:color="auto"/>
              <w:right w:val="single" w:sz="4" w:space="0" w:color="auto"/>
            </w:tcBorders>
            <w:shd w:val="clear" w:color="auto" w:fill="auto"/>
            <w:noWrap/>
            <w:vAlign w:val="center"/>
            <w:hideMark/>
          </w:tcPr>
          <w:p w14:paraId="659ED09B" w14:textId="77777777" w:rsidR="00CA0A25" w:rsidRPr="00163FE4" w:rsidRDefault="00DD159F" w:rsidP="00DD159F">
            <w:pPr>
              <w:spacing w:line="240" w:lineRule="auto"/>
              <w:ind w:firstLine="0"/>
              <w:jc w:val="center"/>
              <w:rPr>
                <w:rFonts w:asciiTheme="majorHAnsi" w:hAnsiTheme="majorHAnsi" w:cstheme="majorHAnsi"/>
                <w:sz w:val="22"/>
                <w:szCs w:val="22"/>
              </w:rPr>
            </w:pPr>
            <w:r w:rsidRPr="00163FE4">
              <w:rPr>
                <w:rFonts w:asciiTheme="majorHAnsi" w:hAnsiTheme="majorHAnsi" w:cstheme="majorHAnsi"/>
                <w:sz w:val="22"/>
                <w:szCs w:val="22"/>
              </w:rPr>
              <w:t xml:space="preserve">Coefficient of Dispersion </w:t>
            </w:r>
          </w:p>
          <w:p w14:paraId="52E517BA" w14:textId="51C74B41" w:rsidR="00DD159F" w:rsidRPr="00163FE4" w:rsidRDefault="00DD159F" w:rsidP="00DD159F">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hAnsiTheme="majorHAnsi" w:cstheme="majorHAnsi"/>
                <w:sz w:val="22"/>
                <w:szCs w:val="22"/>
              </w:rPr>
              <w:t>(COD)</w:t>
            </w:r>
          </w:p>
        </w:tc>
        <w:tc>
          <w:tcPr>
            <w:tcW w:w="5400" w:type="dxa"/>
            <w:tcBorders>
              <w:left w:val="single" w:sz="4" w:space="0" w:color="auto"/>
              <w:right w:val="single" w:sz="4" w:space="0" w:color="auto"/>
            </w:tcBorders>
          </w:tcPr>
          <w:p w14:paraId="39CC17EF" w14:textId="77777777" w:rsidR="00DD159F" w:rsidRPr="00163FE4" w:rsidRDefault="00DD159F" w:rsidP="00DD159F">
            <w:pPr>
              <w:spacing w:line="240" w:lineRule="auto"/>
              <w:ind w:firstLine="0"/>
              <w:jc w:val="center"/>
              <w:rPr>
                <w:rFonts w:asciiTheme="majorHAnsi" w:hAnsiTheme="majorHAnsi" w:cstheme="majorHAnsi"/>
                <w:sz w:val="22"/>
                <w:szCs w:val="22"/>
              </w:rPr>
            </w:pPr>
            <w:r w:rsidRPr="00163FE4">
              <w:rPr>
                <w:rFonts w:asciiTheme="majorHAnsi" w:hAnsiTheme="majorHAnsi" w:cstheme="majorHAnsi"/>
                <w:sz w:val="22"/>
                <w:szCs w:val="22"/>
              </w:rPr>
              <w:t>The average percentage deviation of the AVM’s valuation-to-sales price ratios from the median AVM valuation-to-sales price ratio (IAAO, 2018)</w:t>
            </w:r>
          </w:p>
        </w:tc>
      </w:tr>
      <w:tr w:rsidR="00DD159F" w:rsidRPr="00E17DCD" w14:paraId="116C3ED1" w14:textId="77777777" w:rsidTr="009F56B2">
        <w:trPr>
          <w:trHeight w:val="312"/>
        </w:trPr>
        <w:tc>
          <w:tcPr>
            <w:tcW w:w="3685" w:type="dxa"/>
            <w:tcBorders>
              <w:left w:val="single" w:sz="4" w:space="0" w:color="auto"/>
              <w:right w:val="single" w:sz="4" w:space="0" w:color="auto"/>
            </w:tcBorders>
            <w:shd w:val="clear" w:color="auto" w:fill="auto"/>
            <w:noWrap/>
            <w:vAlign w:val="center"/>
            <w:hideMark/>
          </w:tcPr>
          <w:p w14:paraId="0EF64E7C" w14:textId="77777777" w:rsidR="00CA0A25" w:rsidRPr="00163FE4" w:rsidRDefault="00DD159F" w:rsidP="00DD159F">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 xml:space="preserve">Price Related Difference </w:t>
            </w:r>
          </w:p>
          <w:p w14:paraId="6866892D" w14:textId="18B5BBE7" w:rsidR="00DD159F" w:rsidRPr="00163FE4" w:rsidRDefault="00DD159F" w:rsidP="00DD159F">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(PRD)</w:t>
            </w:r>
          </w:p>
        </w:tc>
        <w:tc>
          <w:tcPr>
            <w:tcW w:w="5400" w:type="dxa"/>
            <w:tcBorders>
              <w:left w:val="single" w:sz="4" w:space="0" w:color="auto"/>
              <w:right w:val="single" w:sz="4" w:space="0" w:color="auto"/>
            </w:tcBorders>
          </w:tcPr>
          <w:p w14:paraId="40A9632E" w14:textId="77777777" w:rsidR="00DD159F" w:rsidRPr="00163FE4" w:rsidRDefault="00DD159F" w:rsidP="00DD159F">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 xml:space="preserve">The mean valuation-to-selling price ratio divided by the weighted (by selling prices) mean ratio </w:t>
            </w:r>
          </w:p>
          <w:p w14:paraId="3D4EC1C4" w14:textId="77777777" w:rsidR="00DD159F" w:rsidRPr="00163FE4" w:rsidRDefault="00DD159F" w:rsidP="00DD159F">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(IAAO, 2018)</w:t>
            </w:r>
          </w:p>
        </w:tc>
      </w:tr>
      <w:tr w:rsidR="00DD159F" w:rsidRPr="00E17DCD" w14:paraId="412B62F5" w14:textId="77777777" w:rsidTr="009F56B2">
        <w:trPr>
          <w:trHeight w:val="312"/>
        </w:trPr>
        <w:tc>
          <w:tcPr>
            <w:tcW w:w="3685" w:type="dxa"/>
            <w:tcBorders>
              <w:left w:val="single" w:sz="4" w:space="0" w:color="auto"/>
              <w:bottom w:val="single" w:sz="4" w:space="0" w:color="auto"/>
              <w:right w:val="single" w:sz="4" w:space="0" w:color="auto"/>
            </w:tcBorders>
            <w:shd w:val="clear" w:color="auto" w:fill="auto"/>
            <w:noWrap/>
            <w:vAlign w:val="center"/>
            <w:hideMark/>
          </w:tcPr>
          <w:p w14:paraId="62C8709E" w14:textId="77777777" w:rsidR="00CA0A25" w:rsidRPr="00163FE4" w:rsidRDefault="00DD159F" w:rsidP="00DD159F">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 xml:space="preserve">Price Related Bias </w:t>
            </w:r>
          </w:p>
          <w:p w14:paraId="00B29DC3" w14:textId="1A2D9C0D" w:rsidR="00DD159F" w:rsidRPr="00163FE4" w:rsidRDefault="00DD159F" w:rsidP="00DD159F">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(PRB)</w:t>
            </w:r>
          </w:p>
        </w:tc>
        <w:tc>
          <w:tcPr>
            <w:tcW w:w="5400" w:type="dxa"/>
            <w:tcBorders>
              <w:left w:val="single" w:sz="4" w:space="0" w:color="auto"/>
              <w:bottom w:val="single" w:sz="4" w:space="0" w:color="auto"/>
              <w:right w:val="single" w:sz="4" w:space="0" w:color="auto"/>
            </w:tcBorders>
          </w:tcPr>
          <w:p w14:paraId="5F5B0067" w14:textId="12A52D91" w:rsidR="00DD159F" w:rsidRPr="00163FE4" w:rsidRDefault="006832D5" w:rsidP="00DD159F">
            <w:pPr>
              <w:spacing w:line="240" w:lineRule="auto"/>
              <w:ind w:firstLine="0"/>
              <w:jc w:val="center"/>
              <w:rPr>
                <w:rFonts w:asciiTheme="majorHAnsi" w:eastAsia="Times New Roman" w:hAnsiTheme="majorHAnsi" w:cstheme="majorHAnsi"/>
                <w:color w:val="000000"/>
                <w:sz w:val="22"/>
                <w:szCs w:val="22"/>
                <w:lang w:eastAsia="en-US"/>
              </w:rPr>
            </w:pPr>
            <w:r w:rsidRPr="00163FE4">
              <w:rPr>
                <w:rFonts w:asciiTheme="majorHAnsi" w:eastAsia="Times New Roman" w:hAnsiTheme="majorHAnsi" w:cstheme="majorHAnsi"/>
                <w:color w:val="000000"/>
                <w:sz w:val="22"/>
                <w:szCs w:val="22"/>
                <w:lang w:eastAsia="en-US"/>
              </w:rPr>
              <w:t xml:space="preserve">The slope found by regressing percentage differences from the median AVM’s valuation-to-sales price ratio on </w:t>
            </w:r>
            <w:r w:rsidR="000779E3">
              <w:rPr>
                <w:rFonts w:asciiTheme="majorHAnsi" w:eastAsia="Times New Roman" w:hAnsiTheme="majorHAnsi" w:cstheme="majorHAnsi"/>
                <w:color w:val="000000"/>
                <w:sz w:val="22"/>
                <w:szCs w:val="22"/>
                <w:lang w:eastAsia="en-US"/>
              </w:rPr>
              <w:t xml:space="preserve">a proxy variable that measures </w:t>
            </w:r>
            <w:r w:rsidRPr="00163FE4">
              <w:rPr>
                <w:rFonts w:asciiTheme="majorHAnsi" w:eastAsia="Times New Roman" w:hAnsiTheme="majorHAnsi" w:cstheme="majorHAnsi"/>
                <w:color w:val="000000"/>
                <w:sz w:val="22"/>
                <w:szCs w:val="22"/>
                <w:lang w:eastAsia="en-US"/>
              </w:rPr>
              <w:t>value (IAAO, 2018)</w:t>
            </w:r>
          </w:p>
        </w:tc>
      </w:tr>
      <w:bookmarkEnd w:id="13"/>
      <w:bookmarkEnd w:id="14"/>
    </w:tbl>
    <w:p w14:paraId="0AE2549F" w14:textId="77777777" w:rsidR="00F37CA4" w:rsidRDefault="00F37CA4" w:rsidP="00433057">
      <w:pPr>
        <w:pStyle w:val="TableFigure"/>
        <w:spacing w:line="240" w:lineRule="auto"/>
        <w:rPr>
          <w:rFonts w:asciiTheme="majorHAnsi" w:hAnsiTheme="majorHAnsi" w:cstheme="majorHAnsi"/>
          <w:b/>
        </w:rPr>
      </w:pPr>
    </w:p>
    <w:p w14:paraId="5C50AF1C" w14:textId="6032DF90" w:rsidR="00433057" w:rsidRDefault="00433057" w:rsidP="00433057">
      <w:pPr>
        <w:pStyle w:val="TableFigure"/>
        <w:spacing w:line="240" w:lineRule="auto"/>
        <w:rPr>
          <w:rFonts w:asciiTheme="majorHAnsi" w:hAnsiTheme="majorHAnsi" w:cstheme="majorHAnsi"/>
        </w:rPr>
      </w:pPr>
      <w:r>
        <w:rPr>
          <w:rFonts w:asciiTheme="majorHAnsi" w:hAnsiTheme="majorHAnsi" w:cstheme="majorHAnsi"/>
          <w:b/>
        </w:rPr>
        <w:lastRenderedPageBreak/>
        <w:t>Exhibit</w:t>
      </w:r>
      <w:r w:rsidRPr="006F5E8B">
        <w:rPr>
          <w:rFonts w:asciiTheme="majorHAnsi" w:hAnsiTheme="majorHAnsi" w:cstheme="majorHAnsi"/>
          <w:b/>
        </w:rPr>
        <w:t xml:space="preserve"> </w:t>
      </w:r>
      <w:r>
        <w:rPr>
          <w:rFonts w:asciiTheme="majorHAnsi" w:hAnsiTheme="majorHAnsi" w:cstheme="majorHAnsi"/>
          <w:b/>
        </w:rPr>
        <w:t>2</w:t>
      </w:r>
      <w:r w:rsidRPr="006F5E8B">
        <w:rPr>
          <w:rFonts w:asciiTheme="majorHAnsi" w:hAnsiTheme="majorHAnsi" w:cstheme="majorHAnsi"/>
          <w:b/>
        </w:rPr>
        <w:t>:</w:t>
      </w:r>
      <w:r w:rsidR="00EE500B">
        <w:rPr>
          <w:rFonts w:asciiTheme="majorHAnsi" w:hAnsiTheme="majorHAnsi" w:cstheme="majorHAnsi"/>
        </w:rPr>
        <w:t xml:space="preserve"> </w:t>
      </w:r>
      <w:r w:rsidR="00905F50">
        <w:rPr>
          <w:rFonts w:asciiTheme="majorHAnsi" w:hAnsiTheme="majorHAnsi" w:cstheme="majorHAnsi"/>
        </w:rPr>
        <w:t>Choropleth</w:t>
      </w:r>
      <w:r w:rsidR="00EE500B">
        <w:rPr>
          <w:rFonts w:asciiTheme="majorHAnsi" w:hAnsiTheme="majorHAnsi" w:cstheme="majorHAnsi"/>
        </w:rPr>
        <w:t xml:space="preserve"> </w:t>
      </w:r>
      <w:r w:rsidR="00905F50">
        <w:rPr>
          <w:rFonts w:asciiTheme="majorHAnsi" w:hAnsiTheme="majorHAnsi" w:cstheme="majorHAnsi"/>
        </w:rPr>
        <w:t xml:space="preserve">state </w:t>
      </w:r>
      <w:r>
        <w:rPr>
          <w:rFonts w:asciiTheme="majorHAnsi" w:hAnsiTheme="majorHAnsi" w:cstheme="majorHAnsi"/>
        </w:rPr>
        <w:t xml:space="preserve">map of the </w:t>
      </w:r>
      <w:r w:rsidR="001E1AE7">
        <w:rPr>
          <w:rFonts w:cstheme="minorHAnsi"/>
        </w:rPr>
        <w:t xml:space="preserve">455,563 </w:t>
      </w:r>
      <w:r w:rsidR="00067150">
        <w:rPr>
          <w:rFonts w:asciiTheme="majorHAnsi" w:hAnsiTheme="majorHAnsi" w:cstheme="majorHAnsi"/>
        </w:rPr>
        <w:t>benchmark properties</w:t>
      </w:r>
      <w:r w:rsidR="007F3C59">
        <w:rPr>
          <w:rFonts w:asciiTheme="majorHAnsi" w:hAnsiTheme="majorHAnsi" w:cstheme="majorHAnsi"/>
        </w:rPr>
        <w:t xml:space="preserve"> in Q3 of 2018</w:t>
      </w:r>
      <w:r w:rsidR="00905F50">
        <w:rPr>
          <w:rFonts w:asciiTheme="majorHAnsi" w:hAnsiTheme="majorHAnsi" w:cstheme="majorHAnsi"/>
        </w:rPr>
        <w:t>,</w:t>
      </w:r>
      <w:r>
        <w:rPr>
          <w:rFonts w:asciiTheme="majorHAnsi" w:hAnsiTheme="majorHAnsi" w:cstheme="majorHAnsi"/>
        </w:rPr>
        <w:t xml:space="preserve"> evaluating the</w:t>
      </w:r>
      <w:r w:rsidR="000E2AD9">
        <w:rPr>
          <w:rFonts w:asciiTheme="majorHAnsi" w:hAnsiTheme="majorHAnsi" w:cstheme="majorHAnsi"/>
        </w:rPr>
        <w:t xml:space="preserve"> </w:t>
      </w:r>
      <w:r>
        <w:rPr>
          <w:rFonts w:asciiTheme="majorHAnsi" w:hAnsiTheme="majorHAnsi" w:cstheme="majorHAnsi"/>
        </w:rPr>
        <w:t>performance of 15 different AVM</w:t>
      </w:r>
      <w:r w:rsidR="007F3C59">
        <w:rPr>
          <w:rFonts w:asciiTheme="majorHAnsi" w:hAnsiTheme="majorHAnsi" w:cstheme="majorHAnsi"/>
        </w:rPr>
        <w:t>s</w:t>
      </w:r>
      <w:r>
        <w:rPr>
          <w:rFonts w:asciiTheme="majorHAnsi" w:hAnsiTheme="majorHAnsi" w:cstheme="majorHAnsi"/>
        </w:rPr>
        <w:t xml:space="preserve">.  </w:t>
      </w:r>
      <w:r w:rsidR="00B23744">
        <w:rPr>
          <w:rFonts w:asciiTheme="majorHAnsi" w:hAnsiTheme="majorHAnsi" w:cstheme="majorHAnsi"/>
        </w:rPr>
        <w:t xml:space="preserve"> </w:t>
      </w:r>
    </w:p>
    <w:p w14:paraId="47ECEC04" w14:textId="67273416" w:rsidR="00B23744" w:rsidRDefault="00B23744" w:rsidP="00433057">
      <w:pPr>
        <w:pStyle w:val="TableFigure"/>
        <w:spacing w:line="240" w:lineRule="auto"/>
        <w:rPr>
          <w:rFonts w:asciiTheme="majorHAnsi" w:hAnsiTheme="majorHAnsi" w:cstheme="majorHAnsi"/>
        </w:rPr>
      </w:pPr>
    </w:p>
    <w:p w14:paraId="660619A4" w14:textId="77777777" w:rsidR="00B23744" w:rsidRPr="000E2AD9" w:rsidRDefault="00B23744" w:rsidP="00433057">
      <w:pPr>
        <w:pStyle w:val="TableFigure"/>
        <w:spacing w:line="240" w:lineRule="auto"/>
        <w:rPr>
          <w:rFonts w:asciiTheme="majorHAnsi" w:hAnsiTheme="majorHAnsi" w:cstheme="majorHAnsi"/>
        </w:rPr>
      </w:pPr>
    </w:p>
    <w:p w14:paraId="1904F676" w14:textId="77777777" w:rsidR="00C0593D" w:rsidRDefault="003A68C3" w:rsidP="004A093C">
      <w:pPr>
        <w:pStyle w:val="TableFigure"/>
        <w:spacing w:line="240" w:lineRule="auto"/>
        <w:rPr>
          <w:rFonts w:asciiTheme="majorHAnsi" w:hAnsiTheme="majorHAnsi" w:cstheme="majorHAnsi"/>
          <w:b/>
        </w:rPr>
      </w:pPr>
      <w:r>
        <w:rPr>
          <w:noProof/>
          <w:lang w:eastAsia="en-US"/>
        </w:rPr>
        <w:drawing>
          <wp:inline distT="0" distB="0" distL="0" distR="0" wp14:anchorId="4F8C6609" wp14:editId="4B832D94">
            <wp:extent cx="5943600" cy="276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768600"/>
                    </a:xfrm>
                    <a:prstGeom prst="rect">
                      <a:avLst/>
                    </a:prstGeom>
                    <a:noFill/>
                    <a:ln>
                      <a:noFill/>
                    </a:ln>
                  </pic:spPr>
                </pic:pic>
              </a:graphicData>
            </a:graphic>
          </wp:inline>
        </w:drawing>
      </w:r>
    </w:p>
    <w:p w14:paraId="5032C1A4" w14:textId="77777777" w:rsidR="00C0593D" w:rsidRDefault="00C0593D" w:rsidP="004A093C">
      <w:pPr>
        <w:pStyle w:val="TableFigure"/>
        <w:spacing w:line="240" w:lineRule="auto"/>
        <w:rPr>
          <w:rFonts w:asciiTheme="majorHAnsi" w:hAnsiTheme="majorHAnsi" w:cstheme="majorHAnsi"/>
          <w:b/>
        </w:rPr>
      </w:pPr>
    </w:p>
    <w:p w14:paraId="42B1E7B8" w14:textId="77777777" w:rsidR="00C0593D" w:rsidRDefault="00C0593D" w:rsidP="00C0593D">
      <w:pPr>
        <w:pStyle w:val="TableFigure"/>
        <w:spacing w:line="240" w:lineRule="auto"/>
        <w:rPr>
          <w:rFonts w:asciiTheme="majorHAnsi" w:hAnsiTheme="majorHAnsi" w:cstheme="majorHAnsi"/>
          <w:b/>
        </w:rPr>
      </w:pPr>
    </w:p>
    <w:p w14:paraId="2C18CE78" w14:textId="77777777" w:rsidR="000875AC" w:rsidRDefault="000875AC">
      <w:pPr>
        <w:rPr>
          <w:rFonts w:asciiTheme="majorHAnsi" w:hAnsiTheme="majorHAnsi" w:cstheme="majorHAnsi"/>
          <w:b/>
        </w:rPr>
      </w:pPr>
      <w:r>
        <w:rPr>
          <w:rFonts w:asciiTheme="majorHAnsi" w:hAnsiTheme="majorHAnsi" w:cstheme="majorHAnsi"/>
          <w:b/>
        </w:rPr>
        <w:br w:type="page"/>
      </w:r>
    </w:p>
    <w:p w14:paraId="4B727C39" w14:textId="1552FF4C" w:rsidR="0018387E" w:rsidRDefault="0018387E" w:rsidP="003C4A56">
      <w:pPr>
        <w:pStyle w:val="NoSpacing"/>
        <w:keepNext/>
        <w:spacing w:after="240" w:line="240" w:lineRule="auto"/>
        <w:rPr>
          <w:rFonts w:asciiTheme="majorHAnsi" w:hAnsiTheme="majorHAnsi" w:cstheme="majorHAnsi"/>
        </w:rPr>
      </w:pPr>
      <w:r>
        <w:rPr>
          <w:rFonts w:asciiTheme="majorHAnsi" w:hAnsiTheme="majorHAnsi" w:cstheme="majorHAnsi"/>
          <w:b/>
        </w:rPr>
        <w:lastRenderedPageBreak/>
        <w:t>Exhibit</w:t>
      </w:r>
      <w:r w:rsidRPr="006F5E8B">
        <w:rPr>
          <w:rFonts w:asciiTheme="majorHAnsi" w:hAnsiTheme="majorHAnsi" w:cstheme="majorHAnsi"/>
          <w:b/>
        </w:rPr>
        <w:t xml:space="preserve"> </w:t>
      </w:r>
      <w:r>
        <w:rPr>
          <w:rFonts w:asciiTheme="majorHAnsi" w:hAnsiTheme="majorHAnsi" w:cstheme="majorHAnsi"/>
          <w:b/>
        </w:rPr>
        <w:t>3</w:t>
      </w:r>
      <w:r w:rsidRPr="006F5E8B">
        <w:rPr>
          <w:rFonts w:asciiTheme="majorHAnsi" w:hAnsiTheme="majorHAnsi" w:cstheme="majorHAnsi"/>
          <w:b/>
        </w:rPr>
        <w:t>:</w:t>
      </w:r>
      <w:r w:rsidRPr="006F5E8B">
        <w:rPr>
          <w:rFonts w:asciiTheme="majorHAnsi" w:hAnsiTheme="majorHAnsi" w:cstheme="majorHAnsi"/>
        </w:rPr>
        <w:t xml:space="preserve"> </w:t>
      </w:r>
      <w:r>
        <w:rPr>
          <w:rFonts w:asciiTheme="majorHAnsi" w:hAnsiTheme="majorHAnsi" w:cstheme="majorHAnsi"/>
        </w:rPr>
        <w:t xml:space="preserve">AVM-by-FSD analysis for AVM Model 1. </w:t>
      </w:r>
      <w:r w:rsidR="005E64C4">
        <w:rPr>
          <w:rFonts w:asciiTheme="majorHAnsi" w:hAnsiTheme="majorHAnsi" w:cstheme="majorHAnsi"/>
        </w:rPr>
        <w:t xml:space="preserve">Note that the vendor-reported FSD is statistically significantly different from the </w:t>
      </w:r>
      <w:r w:rsidR="00F51FA4">
        <w:rPr>
          <w:rFonts w:asciiTheme="majorHAnsi" w:hAnsiTheme="majorHAnsi" w:cstheme="majorHAnsi"/>
        </w:rPr>
        <w:t>Observed Standard Deviation</w:t>
      </w:r>
      <w:r w:rsidR="005E64C4">
        <w:rPr>
          <w:rFonts w:asciiTheme="majorHAnsi" w:hAnsiTheme="majorHAnsi" w:cstheme="majorHAnsi"/>
        </w:rPr>
        <w:t xml:space="preserve"> for each of the 19 different vendor-reported FSDs for Model 1 (p-value &lt; 0.001</w:t>
      </w:r>
      <w:r w:rsidR="005954AD">
        <w:rPr>
          <w:rFonts w:asciiTheme="majorHAnsi" w:hAnsiTheme="majorHAnsi" w:cstheme="majorHAnsi"/>
        </w:rPr>
        <w:t>,</w:t>
      </w:r>
      <w:r w:rsidR="005E64C4">
        <w:rPr>
          <w:rFonts w:asciiTheme="majorHAnsi" w:hAnsiTheme="majorHAnsi" w:cstheme="majorHAnsi"/>
        </w:rPr>
        <w:t xml:space="preserve"> for each).</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107"/>
        <w:gridCol w:w="1620"/>
        <w:gridCol w:w="1350"/>
        <w:gridCol w:w="1150"/>
        <w:gridCol w:w="1150"/>
      </w:tblGrid>
      <w:tr w:rsidR="003C4A56" w:rsidRPr="00AA03ED" w14:paraId="50863CB7" w14:textId="77777777" w:rsidTr="000B38BE">
        <w:trPr>
          <w:trHeight w:val="312"/>
          <w:jc w:val="center"/>
        </w:trPr>
        <w:tc>
          <w:tcPr>
            <w:tcW w:w="1885" w:type="dxa"/>
            <w:shd w:val="clear" w:color="auto" w:fill="auto"/>
            <w:noWrap/>
            <w:vAlign w:val="bottom"/>
            <w:hideMark/>
          </w:tcPr>
          <w:p w14:paraId="5BF297FE" w14:textId="77777777" w:rsidR="003C4A56" w:rsidRDefault="003C4A56"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AVM</w:t>
            </w:r>
          </w:p>
          <w:p w14:paraId="04BDC449" w14:textId="77777777" w:rsidR="003C4A56" w:rsidRDefault="003C4A56" w:rsidP="000B38BE">
            <w:pPr>
              <w:spacing w:line="240" w:lineRule="auto"/>
              <w:ind w:firstLine="0"/>
              <w:jc w:val="center"/>
              <w:rPr>
                <w:rFonts w:ascii="Calibri" w:eastAsia="Times New Roman" w:hAnsi="Calibri" w:cs="Calibri"/>
                <w:color w:val="000000"/>
                <w:sz w:val="22"/>
                <w:szCs w:val="22"/>
                <w:lang w:eastAsia="en-US"/>
              </w:rPr>
            </w:pPr>
          </w:p>
          <w:p w14:paraId="7F1FE328" w14:textId="77777777" w:rsidR="003C4A56" w:rsidRPr="00AA03ED" w:rsidRDefault="003C4A56" w:rsidP="000B38BE">
            <w:pPr>
              <w:spacing w:line="240" w:lineRule="auto"/>
              <w:ind w:firstLine="0"/>
              <w:jc w:val="center"/>
              <w:rPr>
                <w:rFonts w:ascii="Times New Roman" w:eastAsia="Times New Roman" w:hAnsi="Times New Roman" w:cs="Times New Roman"/>
                <w:color w:val="000000"/>
                <w:sz w:val="22"/>
                <w:szCs w:val="22"/>
                <w:lang w:eastAsia="en-US"/>
              </w:rPr>
            </w:pPr>
          </w:p>
        </w:tc>
        <w:tc>
          <w:tcPr>
            <w:tcW w:w="1107" w:type="dxa"/>
            <w:shd w:val="clear" w:color="auto" w:fill="auto"/>
            <w:noWrap/>
            <w:vAlign w:val="bottom"/>
            <w:hideMark/>
          </w:tcPr>
          <w:p w14:paraId="055A700B" w14:textId="77777777" w:rsidR="003C4A56" w:rsidRDefault="003C4A56"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Hits</w:t>
            </w:r>
          </w:p>
          <w:p w14:paraId="798908DF" w14:textId="77777777" w:rsidR="003C4A56" w:rsidRDefault="003C4A56" w:rsidP="000B38BE">
            <w:pPr>
              <w:spacing w:line="240" w:lineRule="auto"/>
              <w:ind w:firstLine="0"/>
              <w:jc w:val="center"/>
              <w:rPr>
                <w:rFonts w:ascii="Calibri" w:eastAsia="Times New Roman" w:hAnsi="Calibri" w:cs="Calibri"/>
                <w:color w:val="000000"/>
                <w:sz w:val="22"/>
                <w:szCs w:val="22"/>
                <w:lang w:eastAsia="en-US"/>
              </w:rPr>
            </w:pPr>
          </w:p>
          <w:p w14:paraId="192639AB" w14:textId="77777777" w:rsidR="003C4A56" w:rsidRPr="009F1E1F" w:rsidRDefault="003C4A56" w:rsidP="000B38BE">
            <w:pPr>
              <w:spacing w:line="240" w:lineRule="auto"/>
              <w:ind w:firstLine="0"/>
              <w:jc w:val="center"/>
              <w:rPr>
                <w:rFonts w:ascii="Times New Roman" w:eastAsia="Times New Roman" w:hAnsi="Times New Roman" w:cs="Times New Roman"/>
                <w:color w:val="auto"/>
                <w:lang w:eastAsia="en-US"/>
              </w:rPr>
            </w:pPr>
          </w:p>
        </w:tc>
        <w:tc>
          <w:tcPr>
            <w:tcW w:w="1620" w:type="dxa"/>
            <w:shd w:val="clear" w:color="auto" w:fill="auto"/>
            <w:noWrap/>
            <w:vAlign w:val="bottom"/>
            <w:hideMark/>
          </w:tcPr>
          <w:p w14:paraId="6A7F02E6" w14:textId="77777777" w:rsidR="003C4A56" w:rsidRDefault="003C4A56"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V</w:t>
            </w:r>
            <w:r>
              <w:rPr>
                <w:rFonts w:ascii="Calibri" w:eastAsia="Times New Roman" w:hAnsi="Calibri" w:cs="Calibri"/>
                <w:color w:val="000000"/>
                <w:sz w:val="22"/>
                <w:szCs w:val="22"/>
                <w:lang w:eastAsia="en-US"/>
              </w:rPr>
              <w:t>endor-</w:t>
            </w:r>
          </w:p>
          <w:p w14:paraId="259F3116" w14:textId="77777777" w:rsidR="003C4A56" w:rsidRPr="009F1E1F" w:rsidRDefault="003C4A56" w:rsidP="000B38BE">
            <w:pPr>
              <w:spacing w:line="240" w:lineRule="auto"/>
              <w:ind w:firstLine="0"/>
              <w:jc w:val="center"/>
              <w:rPr>
                <w:rFonts w:ascii="Times New Roman" w:eastAsia="Times New Roman" w:hAnsi="Times New Roman" w:cs="Times New Roman"/>
                <w:color w:val="auto"/>
                <w:lang w:eastAsia="en-US"/>
              </w:rPr>
            </w:pPr>
            <w:r>
              <w:rPr>
                <w:rFonts w:ascii="Calibri" w:eastAsia="Times New Roman" w:hAnsi="Calibri" w:cs="Calibri"/>
                <w:color w:val="000000"/>
                <w:sz w:val="22"/>
                <w:szCs w:val="22"/>
                <w:lang w:eastAsia="en-US"/>
              </w:rPr>
              <w:t>Reported</w:t>
            </w:r>
            <w:r w:rsidRPr="00813656">
              <w:rPr>
                <w:rFonts w:ascii="Calibri" w:eastAsia="Times New Roman" w:hAnsi="Calibri" w:cs="Calibri"/>
                <w:color w:val="000000"/>
                <w:sz w:val="22"/>
                <w:szCs w:val="22"/>
                <w:lang w:eastAsia="en-US"/>
              </w:rPr>
              <w:t xml:space="preserve"> FSD</w:t>
            </w:r>
          </w:p>
        </w:tc>
        <w:tc>
          <w:tcPr>
            <w:tcW w:w="1350" w:type="dxa"/>
            <w:shd w:val="clear" w:color="auto" w:fill="auto"/>
            <w:noWrap/>
            <w:vAlign w:val="bottom"/>
            <w:hideMark/>
          </w:tcPr>
          <w:p w14:paraId="672AD24F" w14:textId="77777777" w:rsidR="003C4A56" w:rsidRDefault="003C4A56"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Obs</w:t>
            </w:r>
            <w:r>
              <w:rPr>
                <w:rFonts w:ascii="Calibri" w:eastAsia="Times New Roman" w:hAnsi="Calibri" w:cs="Calibri"/>
                <w:color w:val="000000"/>
                <w:sz w:val="22"/>
                <w:szCs w:val="22"/>
                <w:lang w:eastAsia="en-US"/>
              </w:rPr>
              <w:t>erved</w:t>
            </w:r>
          </w:p>
          <w:p w14:paraId="70D31F2D" w14:textId="1EB9E1E7" w:rsidR="003C4A56" w:rsidRPr="009F1E1F" w:rsidRDefault="003C4A56" w:rsidP="000B38BE">
            <w:pPr>
              <w:spacing w:line="240" w:lineRule="auto"/>
              <w:ind w:firstLine="0"/>
              <w:jc w:val="center"/>
              <w:rPr>
                <w:rFonts w:ascii="Times New Roman" w:eastAsia="Times New Roman" w:hAnsi="Times New Roman" w:cs="Times New Roman"/>
                <w:color w:val="auto"/>
                <w:lang w:eastAsia="en-US"/>
              </w:rPr>
            </w:pPr>
            <w:r w:rsidRPr="00813656">
              <w:rPr>
                <w:rFonts w:ascii="Calibri" w:eastAsia="Times New Roman" w:hAnsi="Calibri" w:cs="Calibri"/>
                <w:color w:val="000000"/>
                <w:sz w:val="22"/>
                <w:szCs w:val="22"/>
                <w:lang w:eastAsia="en-US"/>
              </w:rPr>
              <w:t xml:space="preserve"> </w:t>
            </w:r>
            <w:r w:rsidR="003E0205">
              <w:rPr>
                <w:rFonts w:ascii="Calibri" w:eastAsia="Times New Roman" w:hAnsi="Calibri" w:cs="Calibri"/>
                <w:color w:val="000000"/>
                <w:sz w:val="22"/>
                <w:szCs w:val="22"/>
                <w:lang w:eastAsia="en-US"/>
              </w:rPr>
              <w:t>St Dev</w:t>
            </w:r>
          </w:p>
        </w:tc>
        <w:tc>
          <w:tcPr>
            <w:tcW w:w="1150" w:type="dxa"/>
            <w:shd w:val="clear" w:color="auto" w:fill="auto"/>
            <w:noWrap/>
            <w:vAlign w:val="bottom"/>
            <w:hideMark/>
          </w:tcPr>
          <w:p w14:paraId="6E5FF290" w14:textId="77777777" w:rsidR="003C4A56" w:rsidRDefault="003C4A56"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Difference</w:t>
            </w:r>
          </w:p>
          <w:p w14:paraId="71E969D5" w14:textId="77777777" w:rsidR="003C4A56" w:rsidRDefault="003C4A56" w:rsidP="000B38BE">
            <w:pPr>
              <w:spacing w:line="240" w:lineRule="auto"/>
              <w:ind w:firstLine="0"/>
              <w:jc w:val="center"/>
              <w:rPr>
                <w:rFonts w:ascii="Calibri" w:eastAsia="Times New Roman" w:hAnsi="Calibri" w:cs="Calibri"/>
                <w:color w:val="000000"/>
                <w:sz w:val="22"/>
                <w:szCs w:val="22"/>
                <w:lang w:eastAsia="en-US"/>
              </w:rPr>
            </w:pPr>
          </w:p>
          <w:p w14:paraId="228E0365" w14:textId="77777777" w:rsidR="003C4A56" w:rsidRPr="009F1E1F" w:rsidRDefault="003C4A56" w:rsidP="000B38BE">
            <w:pPr>
              <w:spacing w:line="240" w:lineRule="auto"/>
              <w:ind w:firstLine="0"/>
              <w:jc w:val="center"/>
              <w:rPr>
                <w:rFonts w:ascii="Times New Roman" w:eastAsia="Times New Roman" w:hAnsi="Times New Roman" w:cs="Times New Roman"/>
                <w:color w:val="auto"/>
                <w:lang w:eastAsia="en-US"/>
              </w:rPr>
            </w:pPr>
          </w:p>
        </w:tc>
        <w:tc>
          <w:tcPr>
            <w:tcW w:w="1150" w:type="dxa"/>
          </w:tcPr>
          <w:p w14:paraId="3D250CA3" w14:textId="77777777" w:rsidR="003C4A56" w:rsidRDefault="003C4A56" w:rsidP="000B38BE">
            <w:pPr>
              <w:spacing w:line="240" w:lineRule="auto"/>
              <w:ind w:firstLine="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Percent</w:t>
            </w:r>
          </w:p>
          <w:p w14:paraId="5162A5FA" w14:textId="77777777"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Difference</w:t>
            </w:r>
          </w:p>
        </w:tc>
      </w:tr>
      <w:tr w:rsidR="003C4A56" w:rsidRPr="00AA03ED" w14:paraId="5CF28C3C" w14:textId="77777777" w:rsidTr="000B38BE">
        <w:trPr>
          <w:trHeight w:val="312"/>
          <w:jc w:val="center"/>
        </w:trPr>
        <w:tc>
          <w:tcPr>
            <w:tcW w:w="1885" w:type="dxa"/>
            <w:shd w:val="clear" w:color="auto" w:fill="auto"/>
            <w:noWrap/>
            <w:vAlign w:val="bottom"/>
            <w:hideMark/>
          </w:tcPr>
          <w:p w14:paraId="48D40A9A" w14:textId="607A9431" w:rsidR="003C4A56" w:rsidRPr="00AA03ED" w:rsidRDefault="003C4A56" w:rsidP="000B38BE">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09A792C9" w14:textId="77777777" w:rsidR="003C4A56" w:rsidRPr="009F1E1F" w:rsidRDefault="003C4A56" w:rsidP="000B38BE">
            <w:pPr>
              <w:spacing w:line="240" w:lineRule="auto"/>
              <w:ind w:firstLine="0"/>
              <w:jc w:val="center"/>
              <w:rPr>
                <w:rFonts w:ascii="Times New Roman" w:eastAsia="Times New Roman" w:hAnsi="Times New Roman" w:cs="Times New Roman"/>
                <w:color w:val="auto"/>
                <w:lang w:eastAsia="en-US"/>
              </w:rPr>
            </w:pPr>
            <w:r w:rsidRPr="00813656">
              <w:rPr>
                <w:rFonts w:ascii="Calibri" w:eastAsia="Times New Roman" w:hAnsi="Calibri" w:cs="Calibri"/>
                <w:color w:val="000000"/>
                <w:sz w:val="22"/>
                <w:szCs w:val="22"/>
                <w:lang w:eastAsia="en-US"/>
              </w:rPr>
              <w:t>10,421</w:t>
            </w:r>
          </w:p>
        </w:tc>
        <w:tc>
          <w:tcPr>
            <w:tcW w:w="1620" w:type="dxa"/>
            <w:shd w:val="clear" w:color="auto" w:fill="auto"/>
            <w:noWrap/>
            <w:vAlign w:val="bottom"/>
            <w:hideMark/>
          </w:tcPr>
          <w:p w14:paraId="7CB6DE84" w14:textId="77777777" w:rsidR="003C4A56" w:rsidRPr="009F1E1F" w:rsidRDefault="003C4A56" w:rsidP="000B38BE">
            <w:pPr>
              <w:spacing w:line="240" w:lineRule="auto"/>
              <w:ind w:firstLine="0"/>
              <w:jc w:val="center"/>
              <w:rPr>
                <w:rFonts w:ascii="Times New Roman" w:eastAsia="Times New Roman" w:hAnsi="Times New Roman" w:cs="Times New Roman"/>
                <w:color w:val="auto"/>
                <w:lang w:eastAsia="en-US"/>
              </w:rPr>
            </w:pPr>
            <w:r w:rsidRPr="00813656">
              <w:rPr>
                <w:rFonts w:ascii="Calibri" w:eastAsia="Times New Roman" w:hAnsi="Calibri" w:cs="Calibri"/>
                <w:color w:val="000000"/>
                <w:sz w:val="22"/>
                <w:szCs w:val="22"/>
                <w:lang w:eastAsia="en-US"/>
              </w:rPr>
              <w:t>2</w:t>
            </w:r>
          </w:p>
        </w:tc>
        <w:tc>
          <w:tcPr>
            <w:tcW w:w="1350" w:type="dxa"/>
            <w:shd w:val="clear" w:color="auto" w:fill="auto"/>
            <w:noWrap/>
            <w:vAlign w:val="bottom"/>
            <w:hideMark/>
          </w:tcPr>
          <w:p w14:paraId="0E836252" w14:textId="77777777" w:rsidR="003C4A56" w:rsidRPr="009F1E1F" w:rsidRDefault="003C4A56" w:rsidP="000B38BE">
            <w:pPr>
              <w:spacing w:line="240" w:lineRule="auto"/>
              <w:ind w:firstLine="0"/>
              <w:jc w:val="center"/>
              <w:rPr>
                <w:rFonts w:ascii="Times New Roman" w:eastAsia="Times New Roman" w:hAnsi="Times New Roman" w:cs="Times New Roman"/>
                <w:color w:val="auto"/>
                <w:lang w:eastAsia="en-US"/>
              </w:rPr>
            </w:pPr>
            <w:r w:rsidRPr="00813656">
              <w:rPr>
                <w:rFonts w:ascii="Calibri" w:eastAsia="Times New Roman" w:hAnsi="Calibri" w:cs="Calibri"/>
                <w:color w:val="000000"/>
                <w:sz w:val="22"/>
                <w:szCs w:val="22"/>
                <w:lang w:eastAsia="en-US"/>
              </w:rPr>
              <w:t>6.9</w:t>
            </w:r>
          </w:p>
        </w:tc>
        <w:tc>
          <w:tcPr>
            <w:tcW w:w="1150" w:type="dxa"/>
            <w:shd w:val="clear" w:color="auto" w:fill="auto"/>
            <w:noWrap/>
            <w:vAlign w:val="bottom"/>
            <w:hideMark/>
          </w:tcPr>
          <w:p w14:paraId="615F9AB6" w14:textId="1C2072F2" w:rsidR="003C4A56" w:rsidRPr="009F1E1F" w:rsidRDefault="00A952B6" w:rsidP="000B38BE">
            <w:pPr>
              <w:spacing w:line="240" w:lineRule="auto"/>
              <w:ind w:firstLine="0"/>
              <w:jc w:val="center"/>
              <w:rPr>
                <w:rFonts w:ascii="Times New Roman" w:eastAsia="Times New Roman" w:hAnsi="Times New Roman" w:cs="Times New Roman"/>
                <w:color w:val="auto"/>
                <w:lang w:eastAsia="en-US"/>
              </w:rPr>
            </w:pPr>
            <w:r>
              <w:rPr>
                <w:rFonts w:ascii="Calibri" w:eastAsia="Times New Roman" w:hAnsi="Calibri" w:cs="Calibri"/>
                <w:color w:val="000000"/>
                <w:sz w:val="22"/>
                <w:szCs w:val="22"/>
                <w:lang w:eastAsia="en-US"/>
              </w:rPr>
              <w:t>-</w:t>
            </w:r>
            <w:r w:rsidR="003C4A56" w:rsidRPr="00813656">
              <w:rPr>
                <w:rFonts w:ascii="Calibri" w:eastAsia="Times New Roman" w:hAnsi="Calibri" w:cs="Calibri"/>
                <w:color w:val="000000"/>
                <w:sz w:val="22"/>
                <w:szCs w:val="22"/>
                <w:lang w:eastAsia="en-US"/>
              </w:rPr>
              <w:t>4.9</w:t>
            </w:r>
          </w:p>
        </w:tc>
        <w:tc>
          <w:tcPr>
            <w:tcW w:w="1150" w:type="dxa"/>
            <w:vAlign w:val="bottom"/>
          </w:tcPr>
          <w:p w14:paraId="2BBF176D" w14:textId="77777777"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245.0%</w:t>
            </w:r>
          </w:p>
        </w:tc>
      </w:tr>
      <w:tr w:rsidR="003C4A56" w:rsidRPr="00AA03ED" w14:paraId="04064EC0" w14:textId="77777777" w:rsidTr="000B38BE">
        <w:trPr>
          <w:trHeight w:val="312"/>
          <w:jc w:val="center"/>
        </w:trPr>
        <w:tc>
          <w:tcPr>
            <w:tcW w:w="1885" w:type="dxa"/>
            <w:shd w:val="clear" w:color="auto" w:fill="auto"/>
            <w:noWrap/>
            <w:vAlign w:val="bottom"/>
            <w:hideMark/>
          </w:tcPr>
          <w:p w14:paraId="5FFAB941" w14:textId="5993F4AA" w:rsidR="003C4A56" w:rsidRPr="00AA03ED" w:rsidRDefault="003C4A56" w:rsidP="000B38BE">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30A1DC30" w14:textId="77777777" w:rsidR="003C4A56" w:rsidRPr="009F1E1F" w:rsidRDefault="003C4A56" w:rsidP="000B38BE">
            <w:pPr>
              <w:spacing w:line="240" w:lineRule="auto"/>
              <w:ind w:firstLine="0"/>
              <w:jc w:val="center"/>
              <w:rPr>
                <w:rFonts w:ascii="Times New Roman" w:eastAsia="Times New Roman" w:hAnsi="Times New Roman" w:cs="Times New Roman"/>
                <w:color w:val="auto"/>
                <w:lang w:eastAsia="en-US"/>
              </w:rPr>
            </w:pPr>
            <w:r w:rsidRPr="00813656">
              <w:rPr>
                <w:rFonts w:ascii="Calibri" w:eastAsia="Times New Roman" w:hAnsi="Calibri" w:cs="Calibri"/>
                <w:color w:val="000000"/>
                <w:sz w:val="22"/>
                <w:szCs w:val="22"/>
                <w:lang w:eastAsia="en-US"/>
              </w:rPr>
              <w:t>51,162</w:t>
            </w:r>
          </w:p>
        </w:tc>
        <w:tc>
          <w:tcPr>
            <w:tcW w:w="1620" w:type="dxa"/>
            <w:shd w:val="clear" w:color="auto" w:fill="auto"/>
            <w:noWrap/>
            <w:vAlign w:val="bottom"/>
            <w:hideMark/>
          </w:tcPr>
          <w:p w14:paraId="4C88F4A7" w14:textId="77777777" w:rsidR="003C4A56" w:rsidRPr="009F1E1F" w:rsidRDefault="003C4A56" w:rsidP="000B38BE">
            <w:pPr>
              <w:spacing w:line="240" w:lineRule="auto"/>
              <w:ind w:firstLine="0"/>
              <w:jc w:val="center"/>
              <w:rPr>
                <w:rFonts w:ascii="Times New Roman" w:eastAsia="Times New Roman" w:hAnsi="Times New Roman" w:cs="Times New Roman"/>
                <w:color w:val="auto"/>
                <w:lang w:eastAsia="en-US"/>
              </w:rPr>
            </w:pPr>
            <w:r w:rsidRPr="00813656">
              <w:rPr>
                <w:rFonts w:ascii="Calibri" w:eastAsia="Times New Roman" w:hAnsi="Calibri" w:cs="Calibri"/>
                <w:color w:val="000000"/>
                <w:sz w:val="22"/>
                <w:szCs w:val="22"/>
                <w:lang w:eastAsia="en-US"/>
              </w:rPr>
              <w:t>3</w:t>
            </w:r>
          </w:p>
        </w:tc>
        <w:tc>
          <w:tcPr>
            <w:tcW w:w="1350" w:type="dxa"/>
            <w:shd w:val="clear" w:color="auto" w:fill="auto"/>
            <w:noWrap/>
            <w:vAlign w:val="bottom"/>
            <w:hideMark/>
          </w:tcPr>
          <w:p w14:paraId="3D1E94FE" w14:textId="77777777" w:rsidR="003C4A56" w:rsidRPr="009F1E1F" w:rsidRDefault="003C4A56" w:rsidP="000B38BE">
            <w:pPr>
              <w:spacing w:line="240" w:lineRule="auto"/>
              <w:ind w:firstLine="0"/>
              <w:jc w:val="center"/>
              <w:rPr>
                <w:rFonts w:ascii="Times New Roman" w:eastAsia="Times New Roman" w:hAnsi="Times New Roman" w:cs="Times New Roman"/>
                <w:color w:val="auto"/>
                <w:lang w:eastAsia="en-US"/>
              </w:rPr>
            </w:pPr>
            <w:r w:rsidRPr="00813656">
              <w:rPr>
                <w:rFonts w:ascii="Calibri" w:eastAsia="Times New Roman" w:hAnsi="Calibri" w:cs="Calibri"/>
                <w:color w:val="000000"/>
                <w:sz w:val="22"/>
                <w:szCs w:val="22"/>
                <w:lang w:eastAsia="en-US"/>
              </w:rPr>
              <w:t>7.0</w:t>
            </w:r>
          </w:p>
        </w:tc>
        <w:tc>
          <w:tcPr>
            <w:tcW w:w="1150" w:type="dxa"/>
            <w:shd w:val="clear" w:color="auto" w:fill="auto"/>
            <w:noWrap/>
            <w:vAlign w:val="bottom"/>
            <w:hideMark/>
          </w:tcPr>
          <w:p w14:paraId="5946A472" w14:textId="23E677A5" w:rsidR="003C4A56" w:rsidRPr="009F1E1F" w:rsidRDefault="00A952B6" w:rsidP="000B38BE">
            <w:pPr>
              <w:spacing w:line="240" w:lineRule="auto"/>
              <w:ind w:firstLine="0"/>
              <w:jc w:val="center"/>
              <w:rPr>
                <w:rFonts w:ascii="Times New Roman" w:eastAsia="Times New Roman" w:hAnsi="Times New Roman" w:cs="Times New Roman"/>
                <w:color w:val="auto"/>
                <w:lang w:eastAsia="en-US"/>
              </w:rPr>
            </w:pPr>
            <w:r>
              <w:rPr>
                <w:rFonts w:ascii="Calibri" w:eastAsia="Times New Roman" w:hAnsi="Calibri" w:cs="Calibri"/>
                <w:color w:val="000000"/>
                <w:sz w:val="22"/>
                <w:szCs w:val="22"/>
                <w:lang w:eastAsia="en-US"/>
              </w:rPr>
              <w:t>-</w:t>
            </w:r>
            <w:r w:rsidR="003C4A56" w:rsidRPr="00813656">
              <w:rPr>
                <w:rFonts w:ascii="Calibri" w:eastAsia="Times New Roman" w:hAnsi="Calibri" w:cs="Calibri"/>
                <w:color w:val="000000"/>
                <w:sz w:val="22"/>
                <w:szCs w:val="22"/>
                <w:lang w:eastAsia="en-US"/>
              </w:rPr>
              <w:t>4.0</w:t>
            </w:r>
          </w:p>
        </w:tc>
        <w:tc>
          <w:tcPr>
            <w:tcW w:w="1150" w:type="dxa"/>
            <w:vAlign w:val="bottom"/>
          </w:tcPr>
          <w:p w14:paraId="061F90E5" w14:textId="77777777"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133.3%</w:t>
            </w:r>
          </w:p>
        </w:tc>
      </w:tr>
      <w:tr w:rsidR="003C4A56" w:rsidRPr="00AA03ED" w14:paraId="6B830E91" w14:textId="77777777" w:rsidTr="000B38BE">
        <w:trPr>
          <w:trHeight w:val="288"/>
          <w:jc w:val="center"/>
        </w:trPr>
        <w:tc>
          <w:tcPr>
            <w:tcW w:w="1885" w:type="dxa"/>
            <w:shd w:val="clear" w:color="auto" w:fill="auto"/>
            <w:noWrap/>
            <w:vAlign w:val="bottom"/>
            <w:hideMark/>
          </w:tcPr>
          <w:p w14:paraId="0107E004" w14:textId="2945152B" w:rsidR="003C4A56" w:rsidRPr="00AA03ED" w:rsidRDefault="003C4A56" w:rsidP="000B38BE">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262998C6" w14:textId="77777777" w:rsidR="003C4A56" w:rsidRPr="009F1E1F" w:rsidRDefault="003C4A56"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58,399</w:t>
            </w:r>
          </w:p>
        </w:tc>
        <w:tc>
          <w:tcPr>
            <w:tcW w:w="1620" w:type="dxa"/>
            <w:shd w:val="clear" w:color="auto" w:fill="auto"/>
            <w:noWrap/>
            <w:vAlign w:val="bottom"/>
            <w:hideMark/>
          </w:tcPr>
          <w:p w14:paraId="24D6BAED" w14:textId="77777777" w:rsidR="003C4A56" w:rsidRPr="009F1E1F" w:rsidRDefault="003C4A56"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4</w:t>
            </w:r>
          </w:p>
        </w:tc>
        <w:tc>
          <w:tcPr>
            <w:tcW w:w="1350" w:type="dxa"/>
            <w:shd w:val="clear" w:color="auto" w:fill="auto"/>
            <w:noWrap/>
            <w:vAlign w:val="bottom"/>
            <w:hideMark/>
          </w:tcPr>
          <w:p w14:paraId="5CCDD0A7" w14:textId="77777777" w:rsidR="003C4A56" w:rsidRPr="009F1E1F" w:rsidRDefault="003C4A56"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6.2</w:t>
            </w:r>
          </w:p>
        </w:tc>
        <w:tc>
          <w:tcPr>
            <w:tcW w:w="1150" w:type="dxa"/>
            <w:shd w:val="clear" w:color="auto" w:fill="auto"/>
            <w:noWrap/>
            <w:vAlign w:val="bottom"/>
            <w:hideMark/>
          </w:tcPr>
          <w:p w14:paraId="5ECA81DA" w14:textId="5B88C497" w:rsidR="003C4A56" w:rsidRPr="009F1E1F" w:rsidRDefault="00A952B6" w:rsidP="000B38BE">
            <w:pPr>
              <w:spacing w:line="240" w:lineRule="auto"/>
              <w:ind w:firstLine="0"/>
              <w:jc w:val="center"/>
              <w:rPr>
                <w:rFonts w:ascii="Times New Roman" w:eastAsia="Times New Roman" w:hAnsi="Times New Roman" w:cs="Times New Roman"/>
                <w:color w:val="auto"/>
                <w:sz w:val="22"/>
                <w:szCs w:val="22"/>
                <w:lang w:eastAsia="en-US"/>
              </w:rPr>
            </w:pPr>
            <w:r>
              <w:rPr>
                <w:rFonts w:ascii="Calibri" w:eastAsia="Times New Roman" w:hAnsi="Calibri" w:cs="Calibri"/>
                <w:color w:val="000000"/>
                <w:sz w:val="22"/>
                <w:szCs w:val="22"/>
                <w:lang w:eastAsia="en-US"/>
              </w:rPr>
              <w:t>-</w:t>
            </w:r>
            <w:r w:rsidR="003C4A56" w:rsidRPr="00813656">
              <w:rPr>
                <w:rFonts w:ascii="Calibri" w:eastAsia="Times New Roman" w:hAnsi="Calibri" w:cs="Calibri"/>
                <w:color w:val="000000"/>
                <w:sz w:val="22"/>
                <w:szCs w:val="22"/>
                <w:lang w:eastAsia="en-US"/>
              </w:rPr>
              <w:t>2.2</w:t>
            </w:r>
          </w:p>
        </w:tc>
        <w:tc>
          <w:tcPr>
            <w:tcW w:w="1150" w:type="dxa"/>
            <w:vAlign w:val="bottom"/>
          </w:tcPr>
          <w:p w14:paraId="19E46F00" w14:textId="77777777"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55.0%</w:t>
            </w:r>
          </w:p>
        </w:tc>
      </w:tr>
      <w:tr w:rsidR="00A952B6" w:rsidRPr="00AA03ED" w14:paraId="1D18D4ED" w14:textId="77777777" w:rsidTr="000B38BE">
        <w:trPr>
          <w:trHeight w:val="288"/>
          <w:jc w:val="center"/>
        </w:trPr>
        <w:tc>
          <w:tcPr>
            <w:tcW w:w="1885" w:type="dxa"/>
            <w:shd w:val="clear" w:color="auto" w:fill="auto"/>
            <w:noWrap/>
            <w:vAlign w:val="bottom"/>
            <w:hideMark/>
          </w:tcPr>
          <w:p w14:paraId="1DD2BA07" w14:textId="4493F232" w:rsidR="00A952B6" w:rsidRPr="00AA03ED" w:rsidRDefault="00A952B6" w:rsidP="00A952B6">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38376101"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68,828</w:t>
            </w:r>
          </w:p>
        </w:tc>
        <w:tc>
          <w:tcPr>
            <w:tcW w:w="1620" w:type="dxa"/>
            <w:shd w:val="clear" w:color="auto" w:fill="auto"/>
            <w:noWrap/>
            <w:vAlign w:val="bottom"/>
            <w:hideMark/>
          </w:tcPr>
          <w:p w14:paraId="3F9141A0"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5</w:t>
            </w:r>
          </w:p>
        </w:tc>
        <w:tc>
          <w:tcPr>
            <w:tcW w:w="1350" w:type="dxa"/>
            <w:shd w:val="clear" w:color="auto" w:fill="auto"/>
            <w:noWrap/>
            <w:vAlign w:val="bottom"/>
            <w:hideMark/>
          </w:tcPr>
          <w:p w14:paraId="428F5DEF"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6.7</w:t>
            </w:r>
          </w:p>
        </w:tc>
        <w:tc>
          <w:tcPr>
            <w:tcW w:w="1150" w:type="dxa"/>
            <w:shd w:val="clear" w:color="auto" w:fill="auto"/>
            <w:noWrap/>
            <w:vAlign w:val="bottom"/>
            <w:hideMark/>
          </w:tcPr>
          <w:p w14:paraId="11136641" w14:textId="28EAB1EB"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Pr>
                <w:rFonts w:ascii="Calibri" w:eastAsia="Times New Roman" w:hAnsi="Calibri" w:cs="Calibri"/>
                <w:color w:val="000000"/>
                <w:sz w:val="22"/>
                <w:szCs w:val="22"/>
                <w:lang w:eastAsia="en-US"/>
              </w:rPr>
              <w:t>-</w:t>
            </w:r>
            <w:r w:rsidRPr="00813656">
              <w:rPr>
                <w:rFonts w:ascii="Calibri" w:eastAsia="Times New Roman" w:hAnsi="Calibri" w:cs="Calibri"/>
                <w:color w:val="000000"/>
                <w:sz w:val="22"/>
                <w:szCs w:val="22"/>
                <w:lang w:eastAsia="en-US"/>
              </w:rPr>
              <w:t>1.7</w:t>
            </w:r>
          </w:p>
        </w:tc>
        <w:tc>
          <w:tcPr>
            <w:tcW w:w="1150" w:type="dxa"/>
            <w:vAlign w:val="bottom"/>
          </w:tcPr>
          <w:p w14:paraId="30468995"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34.0%</w:t>
            </w:r>
          </w:p>
        </w:tc>
      </w:tr>
      <w:tr w:rsidR="00A952B6" w:rsidRPr="00AA03ED" w14:paraId="13B515CA" w14:textId="77777777" w:rsidTr="000B38BE">
        <w:trPr>
          <w:trHeight w:val="288"/>
          <w:jc w:val="center"/>
        </w:trPr>
        <w:tc>
          <w:tcPr>
            <w:tcW w:w="1885" w:type="dxa"/>
            <w:shd w:val="clear" w:color="auto" w:fill="auto"/>
            <w:noWrap/>
            <w:vAlign w:val="bottom"/>
            <w:hideMark/>
          </w:tcPr>
          <w:p w14:paraId="5CAD39A0" w14:textId="18595AC2" w:rsidR="00A952B6" w:rsidRPr="00AA03ED" w:rsidRDefault="00A952B6" w:rsidP="00A952B6">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7C888B6F"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40,278</w:t>
            </w:r>
          </w:p>
        </w:tc>
        <w:tc>
          <w:tcPr>
            <w:tcW w:w="1620" w:type="dxa"/>
            <w:shd w:val="clear" w:color="auto" w:fill="auto"/>
            <w:noWrap/>
            <w:vAlign w:val="bottom"/>
            <w:hideMark/>
          </w:tcPr>
          <w:p w14:paraId="1D5A1923"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6</w:t>
            </w:r>
          </w:p>
        </w:tc>
        <w:tc>
          <w:tcPr>
            <w:tcW w:w="1350" w:type="dxa"/>
            <w:shd w:val="clear" w:color="auto" w:fill="auto"/>
            <w:noWrap/>
            <w:vAlign w:val="bottom"/>
            <w:hideMark/>
          </w:tcPr>
          <w:p w14:paraId="24831847"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7.6</w:t>
            </w:r>
          </w:p>
        </w:tc>
        <w:tc>
          <w:tcPr>
            <w:tcW w:w="1150" w:type="dxa"/>
            <w:shd w:val="clear" w:color="auto" w:fill="auto"/>
            <w:noWrap/>
            <w:vAlign w:val="bottom"/>
            <w:hideMark/>
          </w:tcPr>
          <w:p w14:paraId="544716FC" w14:textId="4EB84EC6"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Pr>
                <w:rFonts w:ascii="Calibri" w:eastAsia="Times New Roman" w:hAnsi="Calibri" w:cs="Calibri"/>
                <w:color w:val="000000"/>
                <w:sz w:val="22"/>
                <w:szCs w:val="22"/>
                <w:lang w:eastAsia="en-US"/>
              </w:rPr>
              <w:t>-</w:t>
            </w:r>
            <w:r w:rsidRPr="00813656">
              <w:rPr>
                <w:rFonts w:ascii="Calibri" w:eastAsia="Times New Roman" w:hAnsi="Calibri" w:cs="Calibri"/>
                <w:color w:val="000000"/>
                <w:sz w:val="22"/>
                <w:szCs w:val="22"/>
                <w:lang w:eastAsia="en-US"/>
              </w:rPr>
              <w:t>1.6</w:t>
            </w:r>
          </w:p>
        </w:tc>
        <w:tc>
          <w:tcPr>
            <w:tcW w:w="1150" w:type="dxa"/>
            <w:vAlign w:val="bottom"/>
          </w:tcPr>
          <w:p w14:paraId="4649AE6B"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26.7%</w:t>
            </w:r>
          </w:p>
        </w:tc>
      </w:tr>
      <w:tr w:rsidR="00A952B6" w:rsidRPr="00AA03ED" w14:paraId="6C080655" w14:textId="77777777" w:rsidTr="000B38BE">
        <w:trPr>
          <w:trHeight w:val="288"/>
          <w:jc w:val="center"/>
        </w:trPr>
        <w:tc>
          <w:tcPr>
            <w:tcW w:w="1885" w:type="dxa"/>
            <w:shd w:val="clear" w:color="auto" w:fill="auto"/>
            <w:noWrap/>
            <w:vAlign w:val="bottom"/>
            <w:hideMark/>
          </w:tcPr>
          <w:p w14:paraId="2511B4D6" w14:textId="6BFB71DB" w:rsidR="00A952B6" w:rsidRPr="00AA03ED" w:rsidRDefault="00A952B6" w:rsidP="00A952B6">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3353300A"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27,098</w:t>
            </w:r>
          </w:p>
        </w:tc>
        <w:tc>
          <w:tcPr>
            <w:tcW w:w="1620" w:type="dxa"/>
            <w:shd w:val="clear" w:color="auto" w:fill="auto"/>
            <w:noWrap/>
            <w:vAlign w:val="bottom"/>
            <w:hideMark/>
          </w:tcPr>
          <w:p w14:paraId="1966AF40"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7</w:t>
            </w:r>
          </w:p>
        </w:tc>
        <w:tc>
          <w:tcPr>
            <w:tcW w:w="1350" w:type="dxa"/>
            <w:shd w:val="clear" w:color="auto" w:fill="auto"/>
            <w:noWrap/>
            <w:vAlign w:val="bottom"/>
            <w:hideMark/>
          </w:tcPr>
          <w:p w14:paraId="135DE5E5"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8.6</w:t>
            </w:r>
          </w:p>
        </w:tc>
        <w:tc>
          <w:tcPr>
            <w:tcW w:w="1150" w:type="dxa"/>
            <w:shd w:val="clear" w:color="auto" w:fill="auto"/>
            <w:noWrap/>
            <w:vAlign w:val="bottom"/>
            <w:hideMark/>
          </w:tcPr>
          <w:p w14:paraId="14494C26" w14:textId="0FB2E9EF"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Pr>
                <w:rFonts w:ascii="Calibri" w:eastAsia="Times New Roman" w:hAnsi="Calibri" w:cs="Calibri"/>
                <w:color w:val="000000"/>
                <w:sz w:val="22"/>
                <w:szCs w:val="22"/>
                <w:lang w:eastAsia="en-US"/>
              </w:rPr>
              <w:t>-</w:t>
            </w:r>
            <w:r w:rsidRPr="00813656">
              <w:rPr>
                <w:rFonts w:ascii="Calibri" w:eastAsia="Times New Roman" w:hAnsi="Calibri" w:cs="Calibri"/>
                <w:color w:val="000000"/>
                <w:sz w:val="22"/>
                <w:szCs w:val="22"/>
                <w:lang w:eastAsia="en-US"/>
              </w:rPr>
              <w:t>1.6</w:t>
            </w:r>
          </w:p>
        </w:tc>
        <w:tc>
          <w:tcPr>
            <w:tcW w:w="1150" w:type="dxa"/>
            <w:vAlign w:val="bottom"/>
          </w:tcPr>
          <w:p w14:paraId="5AFB0BFE"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22.9%</w:t>
            </w:r>
          </w:p>
        </w:tc>
      </w:tr>
      <w:tr w:rsidR="00A952B6" w:rsidRPr="00AA03ED" w14:paraId="3B805033" w14:textId="77777777" w:rsidTr="000B38BE">
        <w:trPr>
          <w:trHeight w:val="288"/>
          <w:jc w:val="center"/>
        </w:trPr>
        <w:tc>
          <w:tcPr>
            <w:tcW w:w="1885" w:type="dxa"/>
            <w:shd w:val="clear" w:color="auto" w:fill="auto"/>
            <w:noWrap/>
            <w:vAlign w:val="bottom"/>
            <w:hideMark/>
          </w:tcPr>
          <w:p w14:paraId="0AE7DCC6" w14:textId="1180EA2B" w:rsidR="00A952B6" w:rsidRPr="00AA03ED" w:rsidRDefault="00A952B6" w:rsidP="00A952B6">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7C0D4F00"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12,694</w:t>
            </w:r>
          </w:p>
        </w:tc>
        <w:tc>
          <w:tcPr>
            <w:tcW w:w="1620" w:type="dxa"/>
            <w:shd w:val="clear" w:color="auto" w:fill="auto"/>
            <w:noWrap/>
            <w:vAlign w:val="bottom"/>
            <w:hideMark/>
          </w:tcPr>
          <w:p w14:paraId="259CA03F"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8</w:t>
            </w:r>
          </w:p>
        </w:tc>
        <w:tc>
          <w:tcPr>
            <w:tcW w:w="1350" w:type="dxa"/>
            <w:shd w:val="clear" w:color="auto" w:fill="auto"/>
            <w:noWrap/>
            <w:vAlign w:val="bottom"/>
            <w:hideMark/>
          </w:tcPr>
          <w:p w14:paraId="04BC6470"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10.4</w:t>
            </w:r>
          </w:p>
        </w:tc>
        <w:tc>
          <w:tcPr>
            <w:tcW w:w="1150" w:type="dxa"/>
            <w:shd w:val="clear" w:color="auto" w:fill="auto"/>
            <w:noWrap/>
            <w:vAlign w:val="bottom"/>
            <w:hideMark/>
          </w:tcPr>
          <w:p w14:paraId="4A65BE1B" w14:textId="5DC52DCB"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Pr>
                <w:rFonts w:ascii="Calibri" w:eastAsia="Times New Roman" w:hAnsi="Calibri" w:cs="Calibri"/>
                <w:color w:val="000000"/>
                <w:sz w:val="22"/>
                <w:szCs w:val="22"/>
                <w:lang w:eastAsia="en-US"/>
              </w:rPr>
              <w:t>-</w:t>
            </w:r>
            <w:r w:rsidRPr="00813656">
              <w:rPr>
                <w:rFonts w:ascii="Calibri" w:eastAsia="Times New Roman" w:hAnsi="Calibri" w:cs="Calibri"/>
                <w:color w:val="000000"/>
                <w:sz w:val="22"/>
                <w:szCs w:val="22"/>
                <w:lang w:eastAsia="en-US"/>
              </w:rPr>
              <w:t>2.4</w:t>
            </w:r>
          </w:p>
        </w:tc>
        <w:tc>
          <w:tcPr>
            <w:tcW w:w="1150" w:type="dxa"/>
            <w:vAlign w:val="bottom"/>
          </w:tcPr>
          <w:p w14:paraId="3C3AEC19"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30.0%</w:t>
            </w:r>
          </w:p>
        </w:tc>
      </w:tr>
      <w:tr w:rsidR="00A952B6" w:rsidRPr="00AA03ED" w14:paraId="208836D3" w14:textId="77777777" w:rsidTr="000B38BE">
        <w:trPr>
          <w:trHeight w:val="288"/>
          <w:jc w:val="center"/>
        </w:trPr>
        <w:tc>
          <w:tcPr>
            <w:tcW w:w="1885" w:type="dxa"/>
            <w:shd w:val="clear" w:color="auto" w:fill="auto"/>
            <w:noWrap/>
            <w:vAlign w:val="bottom"/>
            <w:hideMark/>
          </w:tcPr>
          <w:p w14:paraId="44919B8E" w14:textId="4CC9D5BB" w:rsidR="00A952B6" w:rsidRPr="00AA03ED" w:rsidRDefault="00A952B6" w:rsidP="00A952B6">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21096710"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8,506</w:t>
            </w:r>
          </w:p>
        </w:tc>
        <w:tc>
          <w:tcPr>
            <w:tcW w:w="1620" w:type="dxa"/>
            <w:shd w:val="clear" w:color="auto" w:fill="auto"/>
            <w:noWrap/>
            <w:vAlign w:val="bottom"/>
            <w:hideMark/>
          </w:tcPr>
          <w:p w14:paraId="00C38770"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9</w:t>
            </w:r>
          </w:p>
        </w:tc>
        <w:tc>
          <w:tcPr>
            <w:tcW w:w="1350" w:type="dxa"/>
            <w:shd w:val="clear" w:color="auto" w:fill="auto"/>
            <w:noWrap/>
            <w:vAlign w:val="bottom"/>
            <w:hideMark/>
          </w:tcPr>
          <w:p w14:paraId="682F971F"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10.8</w:t>
            </w:r>
          </w:p>
        </w:tc>
        <w:tc>
          <w:tcPr>
            <w:tcW w:w="1150" w:type="dxa"/>
            <w:shd w:val="clear" w:color="auto" w:fill="auto"/>
            <w:noWrap/>
            <w:vAlign w:val="bottom"/>
            <w:hideMark/>
          </w:tcPr>
          <w:p w14:paraId="04C56C63" w14:textId="707AB8E2"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Pr>
                <w:rFonts w:ascii="Calibri" w:eastAsia="Times New Roman" w:hAnsi="Calibri" w:cs="Calibri"/>
                <w:color w:val="000000"/>
                <w:sz w:val="22"/>
                <w:szCs w:val="22"/>
                <w:lang w:eastAsia="en-US"/>
              </w:rPr>
              <w:t>-</w:t>
            </w:r>
            <w:r w:rsidRPr="00813656">
              <w:rPr>
                <w:rFonts w:ascii="Calibri" w:eastAsia="Times New Roman" w:hAnsi="Calibri" w:cs="Calibri"/>
                <w:color w:val="000000"/>
                <w:sz w:val="22"/>
                <w:szCs w:val="22"/>
                <w:lang w:eastAsia="en-US"/>
              </w:rPr>
              <w:t>1.8</w:t>
            </w:r>
          </w:p>
        </w:tc>
        <w:tc>
          <w:tcPr>
            <w:tcW w:w="1150" w:type="dxa"/>
            <w:vAlign w:val="bottom"/>
          </w:tcPr>
          <w:p w14:paraId="24DBD507"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20.0%</w:t>
            </w:r>
          </w:p>
        </w:tc>
      </w:tr>
      <w:tr w:rsidR="00A952B6" w:rsidRPr="00AA03ED" w14:paraId="2CE94EB8" w14:textId="77777777" w:rsidTr="000B38BE">
        <w:trPr>
          <w:trHeight w:val="288"/>
          <w:jc w:val="center"/>
        </w:trPr>
        <w:tc>
          <w:tcPr>
            <w:tcW w:w="1885" w:type="dxa"/>
            <w:shd w:val="clear" w:color="auto" w:fill="auto"/>
            <w:noWrap/>
            <w:vAlign w:val="bottom"/>
            <w:hideMark/>
          </w:tcPr>
          <w:p w14:paraId="24AC08DB" w14:textId="442CA2B4" w:rsidR="00A952B6" w:rsidRPr="00AA03ED" w:rsidRDefault="00A952B6" w:rsidP="00A952B6">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76DC88FB"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12,778</w:t>
            </w:r>
          </w:p>
        </w:tc>
        <w:tc>
          <w:tcPr>
            <w:tcW w:w="1620" w:type="dxa"/>
            <w:shd w:val="clear" w:color="auto" w:fill="auto"/>
            <w:noWrap/>
            <w:vAlign w:val="bottom"/>
            <w:hideMark/>
          </w:tcPr>
          <w:p w14:paraId="057FF3B5"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10</w:t>
            </w:r>
          </w:p>
        </w:tc>
        <w:tc>
          <w:tcPr>
            <w:tcW w:w="1350" w:type="dxa"/>
            <w:shd w:val="clear" w:color="auto" w:fill="auto"/>
            <w:noWrap/>
            <w:vAlign w:val="bottom"/>
            <w:hideMark/>
          </w:tcPr>
          <w:p w14:paraId="18B5173C"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12.5</w:t>
            </w:r>
          </w:p>
        </w:tc>
        <w:tc>
          <w:tcPr>
            <w:tcW w:w="1150" w:type="dxa"/>
            <w:shd w:val="clear" w:color="auto" w:fill="auto"/>
            <w:noWrap/>
            <w:vAlign w:val="bottom"/>
            <w:hideMark/>
          </w:tcPr>
          <w:p w14:paraId="76492047" w14:textId="2F13A4C6"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Pr>
                <w:rFonts w:ascii="Calibri" w:eastAsia="Times New Roman" w:hAnsi="Calibri" w:cs="Calibri"/>
                <w:color w:val="000000"/>
                <w:sz w:val="22"/>
                <w:szCs w:val="22"/>
                <w:lang w:eastAsia="en-US"/>
              </w:rPr>
              <w:t>-</w:t>
            </w:r>
            <w:r w:rsidRPr="00813656">
              <w:rPr>
                <w:rFonts w:ascii="Calibri" w:eastAsia="Times New Roman" w:hAnsi="Calibri" w:cs="Calibri"/>
                <w:color w:val="000000"/>
                <w:sz w:val="22"/>
                <w:szCs w:val="22"/>
                <w:lang w:eastAsia="en-US"/>
              </w:rPr>
              <w:t>2.5</w:t>
            </w:r>
          </w:p>
        </w:tc>
        <w:tc>
          <w:tcPr>
            <w:tcW w:w="1150" w:type="dxa"/>
            <w:vAlign w:val="bottom"/>
          </w:tcPr>
          <w:p w14:paraId="6E682892"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25.0%</w:t>
            </w:r>
          </w:p>
        </w:tc>
      </w:tr>
      <w:tr w:rsidR="00A952B6" w:rsidRPr="00AA03ED" w14:paraId="4CF792DE" w14:textId="77777777" w:rsidTr="000B38BE">
        <w:trPr>
          <w:trHeight w:val="288"/>
          <w:jc w:val="center"/>
        </w:trPr>
        <w:tc>
          <w:tcPr>
            <w:tcW w:w="1885" w:type="dxa"/>
            <w:shd w:val="clear" w:color="auto" w:fill="auto"/>
            <w:noWrap/>
            <w:vAlign w:val="bottom"/>
            <w:hideMark/>
          </w:tcPr>
          <w:p w14:paraId="0D7DAF0E" w14:textId="0226FD9E" w:rsidR="00A952B6" w:rsidRPr="00AA03ED" w:rsidRDefault="00A952B6" w:rsidP="00A952B6">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29B16722"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2,451</w:t>
            </w:r>
          </w:p>
        </w:tc>
        <w:tc>
          <w:tcPr>
            <w:tcW w:w="1620" w:type="dxa"/>
            <w:shd w:val="clear" w:color="auto" w:fill="auto"/>
            <w:noWrap/>
            <w:vAlign w:val="bottom"/>
            <w:hideMark/>
          </w:tcPr>
          <w:p w14:paraId="15CE3BED"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11</w:t>
            </w:r>
          </w:p>
        </w:tc>
        <w:tc>
          <w:tcPr>
            <w:tcW w:w="1350" w:type="dxa"/>
            <w:shd w:val="clear" w:color="auto" w:fill="auto"/>
            <w:noWrap/>
            <w:vAlign w:val="bottom"/>
            <w:hideMark/>
          </w:tcPr>
          <w:p w14:paraId="23DDABE5"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16.8</w:t>
            </w:r>
          </w:p>
        </w:tc>
        <w:tc>
          <w:tcPr>
            <w:tcW w:w="1150" w:type="dxa"/>
            <w:shd w:val="clear" w:color="auto" w:fill="auto"/>
            <w:noWrap/>
            <w:vAlign w:val="bottom"/>
            <w:hideMark/>
          </w:tcPr>
          <w:p w14:paraId="0A183DE5" w14:textId="1FA4FE59"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Pr>
                <w:rFonts w:ascii="Calibri" w:eastAsia="Times New Roman" w:hAnsi="Calibri" w:cs="Calibri"/>
                <w:color w:val="000000"/>
                <w:sz w:val="22"/>
                <w:szCs w:val="22"/>
                <w:lang w:eastAsia="en-US"/>
              </w:rPr>
              <w:t>-</w:t>
            </w:r>
            <w:r w:rsidRPr="00813656">
              <w:rPr>
                <w:rFonts w:ascii="Calibri" w:eastAsia="Times New Roman" w:hAnsi="Calibri" w:cs="Calibri"/>
                <w:color w:val="000000"/>
                <w:sz w:val="22"/>
                <w:szCs w:val="22"/>
                <w:lang w:eastAsia="en-US"/>
              </w:rPr>
              <w:t>5.8</w:t>
            </w:r>
          </w:p>
        </w:tc>
        <w:tc>
          <w:tcPr>
            <w:tcW w:w="1150" w:type="dxa"/>
            <w:vAlign w:val="bottom"/>
          </w:tcPr>
          <w:p w14:paraId="5F0B3B87"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52.7%</w:t>
            </w:r>
          </w:p>
        </w:tc>
      </w:tr>
      <w:tr w:rsidR="00A952B6" w:rsidRPr="00AA03ED" w14:paraId="532FD5A4" w14:textId="77777777" w:rsidTr="000B38BE">
        <w:trPr>
          <w:trHeight w:val="288"/>
          <w:jc w:val="center"/>
        </w:trPr>
        <w:tc>
          <w:tcPr>
            <w:tcW w:w="1885" w:type="dxa"/>
            <w:shd w:val="clear" w:color="auto" w:fill="auto"/>
            <w:noWrap/>
            <w:vAlign w:val="bottom"/>
            <w:hideMark/>
          </w:tcPr>
          <w:p w14:paraId="50CA2CE8" w14:textId="1A05284F" w:rsidR="00A952B6" w:rsidRPr="00AA03ED" w:rsidRDefault="00A952B6" w:rsidP="00A952B6">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7729AD73"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7,044</w:t>
            </w:r>
          </w:p>
        </w:tc>
        <w:tc>
          <w:tcPr>
            <w:tcW w:w="1620" w:type="dxa"/>
            <w:shd w:val="clear" w:color="auto" w:fill="auto"/>
            <w:noWrap/>
            <w:vAlign w:val="bottom"/>
            <w:hideMark/>
          </w:tcPr>
          <w:p w14:paraId="14F00792"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12</w:t>
            </w:r>
          </w:p>
        </w:tc>
        <w:tc>
          <w:tcPr>
            <w:tcW w:w="1350" w:type="dxa"/>
            <w:shd w:val="clear" w:color="auto" w:fill="auto"/>
            <w:noWrap/>
            <w:vAlign w:val="bottom"/>
            <w:hideMark/>
          </w:tcPr>
          <w:p w14:paraId="575F2A01"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16.5</w:t>
            </w:r>
          </w:p>
        </w:tc>
        <w:tc>
          <w:tcPr>
            <w:tcW w:w="1150" w:type="dxa"/>
            <w:shd w:val="clear" w:color="auto" w:fill="auto"/>
            <w:noWrap/>
            <w:vAlign w:val="bottom"/>
            <w:hideMark/>
          </w:tcPr>
          <w:p w14:paraId="78DB4A84" w14:textId="17BE5B93"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Pr>
                <w:rFonts w:ascii="Calibri" w:eastAsia="Times New Roman" w:hAnsi="Calibri" w:cs="Calibri"/>
                <w:color w:val="000000"/>
                <w:sz w:val="22"/>
                <w:szCs w:val="22"/>
                <w:lang w:eastAsia="en-US"/>
              </w:rPr>
              <w:t>-</w:t>
            </w:r>
            <w:r w:rsidRPr="00813656">
              <w:rPr>
                <w:rFonts w:ascii="Calibri" w:eastAsia="Times New Roman" w:hAnsi="Calibri" w:cs="Calibri"/>
                <w:color w:val="000000"/>
                <w:sz w:val="22"/>
                <w:szCs w:val="22"/>
                <w:lang w:eastAsia="en-US"/>
              </w:rPr>
              <w:t>4.5</w:t>
            </w:r>
          </w:p>
        </w:tc>
        <w:tc>
          <w:tcPr>
            <w:tcW w:w="1150" w:type="dxa"/>
            <w:vAlign w:val="bottom"/>
          </w:tcPr>
          <w:p w14:paraId="0FC6A836"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37.5%</w:t>
            </w:r>
          </w:p>
        </w:tc>
      </w:tr>
      <w:tr w:rsidR="00A952B6" w:rsidRPr="00AA03ED" w14:paraId="51B6B521" w14:textId="77777777" w:rsidTr="000B38BE">
        <w:trPr>
          <w:trHeight w:val="288"/>
          <w:jc w:val="center"/>
        </w:trPr>
        <w:tc>
          <w:tcPr>
            <w:tcW w:w="1885" w:type="dxa"/>
            <w:shd w:val="clear" w:color="auto" w:fill="auto"/>
            <w:noWrap/>
            <w:vAlign w:val="bottom"/>
            <w:hideMark/>
          </w:tcPr>
          <w:p w14:paraId="6D23CCFE" w14:textId="30AB84DE" w:rsidR="00A952B6" w:rsidRPr="00AA03ED" w:rsidRDefault="00A952B6" w:rsidP="00A952B6">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117C1301"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4,928</w:t>
            </w:r>
          </w:p>
        </w:tc>
        <w:tc>
          <w:tcPr>
            <w:tcW w:w="1620" w:type="dxa"/>
            <w:shd w:val="clear" w:color="auto" w:fill="auto"/>
            <w:noWrap/>
            <w:vAlign w:val="bottom"/>
            <w:hideMark/>
          </w:tcPr>
          <w:p w14:paraId="5FF1C209"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13</w:t>
            </w:r>
          </w:p>
        </w:tc>
        <w:tc>
          <w:tcPr>
            <w:tcW w:w="1350" w:type="dxa"/>
            <w:shd w:val="clear" w:color="auto" w:fill="auto"/>
            <w:noWrap/>
            <w:vAlign w:val="bottom"/>
            <w:hideMark/>
          </w:tcPr>
          <w:p w14:paraId="58ADC7B5"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19.2</w:t>
            </w:r>
          </w:p>
        </w:tc>
        <w:tc>
          <w:tcPr>
            <w:tcW w:w="1150" w:type="dxa"/>
            <w:shd w:val="clear" w:color="auto" w:fill="auto"/>
            <w:noWrap/>
            <w:vAlign w:val="bottom"/>
            <w:hideMark/>
          </w:tcPr>
          <w:p w14:paraId="1DD34EEF" w14:textId="7CCBD590"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Pr>
                <w:rFonts w:ascii="Calibri" w:eastAsia="Times New Roman" w:hAnsi="Calibri" w:cs="Calibri"/>
                <w:color w:val="000000"/>
                <w:sz w:val="22"/>
                <w:szCs w:val="22"/>
                <w:lang w:eastAsia="en-US"/>
              </w:rPr>
              <w:t>-</w:t>
            </w:r>
            <w:r w:rsidRPr="00813656">
              <w:rPr>
                <w:rFonts w:ascii="Calibri" w:eastAsia="Times New Roman" w:hAnsi="Calibri" w:cs="Calibri"/>
                <w:color w:val="000000"/>
                <w:sz w:val="22"/>
                <w:szCs w:val="22"/>
                <w:lang w:eastAsia="en-US"/>
              </w:rPr>
              <w:t>6.2</w:t>
            </w:r>
          </w:p>
        </w:tc>
        <w:tc>
          <w:tcPr>
            <w:tcW w:w="1150" w:type="dxa"/>
            <w:vAlign w:val="bottom"/>
          </w:tcPr>
          <w:p w14:paraId="4E87FB0B"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47.7%</w:t>
            </w:r>
          </w:p>
        </w:tc>
      </w:tr>
      <w:tr w:rsidR="00A952B6" w:rsidRPr="00AA03ED" w14:paraId="40054C80" w14:textId="77777777" w:rsidTr="000B38BE">
        <w:trPr>
          <w:trHeight w:val="288"/>
          <w:jc w:val="center"/>
        </w:trPr>
        <w:tc>
          <w:tcPr>
            <w:tcW w:w="1885" w:type="dxa"/>
            <w:shd w:val="clear" w:color="auto" w:fill="auto"/>
            <w:noWrap/>
            <w:vAlign w:val="bottom"/>
            <w:hideMark/>
          </w:tcPr>
          <w:p w14:paraId="694F8E8C" w14:textId="12402D7F" w:rsidR="00A952B6" w:rsidRPr="00AA03ED" w:rsidRDefault="00A952B6" w:rsidP="00A952B6">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2C1C8FB7"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2,951</w:t>
            </w:r>
          </w:p>
        </w:tc>
        <w:tc>
          <w:tcPr>
            <w:tcW w:w="1620" w:type="dxa"/>
            <w:shd w:val="clear" w:color="auto" w:fill="auto"/>
            <w:noWrap/>
            <w:vAlign w:val="bottom"/>
            <w:hideMark/>
          </w:tcPr>
          <w:p w14:paraId="5EC226D0"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14</w:t>
            </w:r>
          </w:p>
        </w:tc>
        <w:tc>
          <w:tcPr>
            <w:tcW w:w="1350" w:type="dxa"/>
            <w:shd w:val="clear" w:color="auto" w:fill="auto"/>
            <w:noWrap/>
            <w:vAlign w:val="bottom"/>
            <w:hideMark/>
          </w:tcPr>
          <w:p w14:paraId="5957D067"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20.1</w:t>
            </w:r>
          </w:p>
        </w:tc>
        <w:tc>
          <w:tcPr>
            <w:tcW w:w="1150" w:type="dxa"/>
            <w:shd w:val="clear" w:color="auto" w:fill="auto"/>
            <w:noWrap/>
            <w:vAlign w:val="bottom"/>
            <w:hideMark/>
          </w:tcPr>
          <w:p w14:paraId="18E2ED44" w14:textId="32CCFA3D"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Pr>
                <w:rFonts w:ascii="Calibri" w:eastAsia="Times New Roman" w:hAnsi="Calibri" w:cs="Calibri"/>
                <w:color w:val="000000"/>
                <w:sz w:val="22"/>
                <w:szCs w:val="22"/>
                <w:lang w:eastAsia="en-US"/>
              </w:rPr>
              <w:t>-</w:t>
            </w:r>
            <w:r w:rsidRPr="00813656">
              <w:rPr>
                <w:rFonts w:ascii="Calibri" w:eastAsia="Times New Roman" w:hAnsi="Calibri" w:cs="Calibri"/>
                <w:color w:val="000000"/>
                <w:sz w:val="22"/>
                <w:szCs w:val="22"/>
                <w:lang w:eastAsia="en-US"/>
              </w:rPr>
              <w:t>6.1</w:t>
            </w:r>
          </w:p>
        </w:tc>
        <w:tc>
          <w:tcPr>
            <w:tcW w:w="1150" w:type="dxa"/>
            <w:vAlign w:val="bottom"/>
          </w:tcPr>
          <w:p w14:paraId="54B5081E"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43.6%</w:t>
            </w:r>
          </w:p>
        </w:tc>
      </w:tr>
      <w:tr w:rsidR="00A952B6" w:rsidRPr="00AA03ED" w14:paraId="6575DCD6" w14:textId="77777777" w:rsidTr="000B38BE">
        <w:trPr>
          <w:trHeight w:val="288"/>
          <w:jc w:val="center"/>
        </w:trPr>
        <w:tc>
          <w:tcPr>
            <w:tcW w:w="1885" w:type="dxa"/>
            <w:shd w:val="clear" w:color="auto" w:fill="auto"/>
            <w:noWrap/>
            <w:vAlign w:val="bottom"/>
            <w:hideMark/>
          </w:tcPr>
          <w:p w14:paraId="2654B008" w14:textId="74CA340A" w:rsidR="00A952B6" w:rsidRPr="00AA03ED" w:rsidRDefault="00A952B6" w:rsidP="00A952B6">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19F1DB1B"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4,915</w:t>
            </w:r>
          </w:p>
        </w:tc>
        <w:tc>
          <w:tcPr>
            <w:tcW w:w="1620" w:type="dxa"/>
            <w:shd w:val="clear" w:color="auto" w:fill="auto"/>
            <w:noWrap/>
            <w:vAlign w:val="bottom"/>
            <w:hideMark/>
          </w:tcPr>
          <w:p w14:paraId="6E6F5720"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15</w:t>
            </w:r>
          </w:p>
        </w:tc>
        <w:tc>
          <w:tcPr>
            <w:tcW w:w="1350" w:type="dxa"/>
            <w:shd w:val="clear" w:color="auto" w:fill="auto"/>
            <w:noWrap/>
            <w:vAlign w:val="bottom"/>
            <w:hideMark/>
          </w:tcPr>
          <w:p w14:paraId="406E48EE"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21.4</w:t>
            </w:r>
          </w:p>
        </w:tc>
        <w:tc>
          <w:tcPr>
            <w:tcW w:w="1150" w:type="dxa"/>
            <w:shd w:val="clear" w:color="auto" w:fill="auto"/>
            <w:noWrap/>
            <w:vAlign w:val="bottom"/>
            <w:hideMark/>
          </w:tcPr>
          <w:p w14:paraId="61F0B849" w14:textId="7CA8B2A0"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Pr>
                <w:rFonts w:ascii="Calibri" w:eastAsia="Times New Roman" w:hAnsi="Calibri" w:cs="Calibri"/>
                <w:color w:val="000000"/>
                <w:sz w:val="22"/>
                <w:szCs w:val="22"/>
                <w:lang w:eastAsia="en-US"/>
              </w:rPr>
              <w:t>-</w:t>
            </w:r>
            <w:r w:rsidRPr="00813656">
              <w:rPr>
                <w:rFonts w:ascii="Calibri" w:eastAsia="Times New Roman" w:hAnsi="Calibri" w:cs="Calibri"/>
                <w:color w:val="000000"/>
                <w:sz w:val="22"/>
                <w:szCs w:val="22"/>
                <w:lang w:eastAsia="en-US"/>
              </w:rPr>
              <w:t>6.4</w:t>
            </w:r>
          </w:p>
        </w:tc>
        <w:tc>
          <w:tcPr>
            <w:tcW w:w="1150" w:type="dxa"/>
            <w:vAlign w:val="bottom"/>
          </w:tcPr>
          <w:p w14:paraId="6ADAC2F3"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42.7%</w:t>
            </w:r>
          </w:p>
        </w:tc>
      </w:tr>
      <w:tr w:rsidR="00A952B6" w:rsidRPr="00AA03ED" w14:paraId="14C00AB3" w14:textId="77777777" w:rsidTr="000B38BE">
        <w:trPr>
          <w:trHeight w:val="288"/>
          <w:jc w:val="center"/>
        </w:trPr>
        <w:tc>
          <w:tcPr>
            <w:tcW w:w="1885" w:type="dxa"/>
            <w:shd w:val="clear" w:color="auto" w:fill="auto"/>
            <w:noWrap/>
            <w:vAlign w:val="bottom"/>
            <w:hideMark/>
          </w:tcPr>
          <w:p w14:paraId="75A5E19E" w14:textId="5C3E4840" w:rsidR="00A952B6" w:rsidRPr="00AA03ED" w:rsidRDefault="00A952B6" w:rsidP="00A952B6">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77CD6F78"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6,458</w:t>
            </w:r>
          </w:p>
        </w:tc>
        <w:tc>
          <w:tcPr>
            <w:tcW w:w="1620" w:type="dxa"/>
            <w:shd w:val="clear" w:color="auto" w:fill="auto"/>
            <w:noWrap/>
            <w:vAlign w:val="bottom"/>
            <w:hideMark/>
          </w:tcPr>
          <w:p w14:paraId="1F3A3F37"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16</w:t>
            </w:r>
          </w:p>
        </w:tc>
        <w:tc>
          <w:tcPr>
            <w:tcW w:w="1350" w:type="dxa"/>
            <w:shd w:val="clear" w:color="auto" w:fill="auto"/>
            <w:noWrap/>
            <w:vAlign w:val="bottom"/>
            <w:hideMark/>
          </w:tcPr>
          <w:p w14:paraId="1897D4C2" w14:textId="77777777"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22.3</w:t>
            </w:r>
          </w:p>
        </w:tc>
        <w:tc>
          <w:tcPr>
            <w:tcW w:w="1150" w:type="dxa"/>
            <w:shd w:val="clear" w:color="auto" w:fill="auto"/>
            <w:noWrap/>
            <w:vAlign w:val="bottom"/>
            <w:hideMark/>
          </w:tcPr>
          <w:p w14:paraId="13C9DDA9" w14:textId="6ED9945D" w:rsidR="00A952B6" w:rsidRPr="009F1E1F" w:rsidRDefault="00A952B6" w:rsidP="00A952B6">
            <w:pPr>
              <w:spacing w:line="240" w:lineRule="auto"/>
              <w:ind w:firstLine="0"/>
              <w:jc w:val="center"/>
              <w:rPr>
                <w:rFonts w:ascii="Times New Roman" w:eastAsia="Times New Roman" w:hAnsi="Times New Roman" w:cs="Times New Roman"/>
                <w:color w:val="auto"/>
                <w:sz w:val="22"/>
                <w:szCs w:val="22"/>
                <w:lang w:eastAsia="en-US"/>
              </w:rPr>
            </w:pPr>
            <w:r>
              <w:rPr>
                <w:rFonts w:ascii="Calibri" w:eastAsia="Times New Roman" w:hAnsi="Calibri" w:cs="Calibri"/>
                <w:color w:val="000000"/>
                <w:sz w:val="22"/>
                <w:szCs w:val="22"/>
                <w:lang w:eastAsia="en-US"/>
              </w:rPr>
              <w:t>-</w:t>
            </w:r>
            <w:r w:rsidRPr="00813656">
              <w:rPr>
                <w:rFonts w:ascii="Calibri" w:eastAsia="Times New Roman" w:hAnsi="Calibri" w:cs="Calibri"/>
                <w:color w:val="000000"/>
                <w:sz w:val="22"/>
                <w:szCs w:val="22"/>
                <w:lang w:eastAsia="en-US"/>
              </w:rPr>
              <w:t>6.3</w:t>
            </w:r>
          </w:p>
        </w:tc>
        <w:tc>
          <w:tcPr>
            <w:tcW w:w="1150" w:type="dxa"/>
            <w:vAlign w:val="bottom"/>
          </w:tcPr>
          <w:p w14:paraId="4249654D"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39.4%</w:t>
            </w:r>
          </w:p>
        </w:tc>
      </w:tr>
      <w:tr w:rsidR="00A952B6" w:rsidRPr="00AA03ED" w14:paraId="76D9E1D9" w14:textId="77777777" w:rsidTr="000B38BE">
        <w:trPr>
          <w:trHeight w:val="288"/>
          <w:jc w:val="center"/>
        </w:trPr>
        <w:tc>
          <w:tcPr>
            <w:tcW w:w="1885" w:type="dxa"/>
            <w:shd w:val="clear" w:color="auto" w:fill="auto"/>
            <w:noWrap/>
            <w:vAlign w:val="bottom"/>
          </w:tcPr>
          <w:p w14:paraId="266732B2" w14:textId="00112131"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60109CF2"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4,863</w:t>
            </w:r>
          </w:p>
        </w:tc>
        <w:tc>
          <w:tcPr>
            <w:tcW w:w="1620" w:type="dxa"/>
            <w:shd w:val="clear" w:color="auto" w:fill="auto"/>
            <w:noWrap/>
            <w:vAlign w:val="bottom"/>
          </w:tcPr>
          <w:p w14:paraId="7861D849"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17</w:t>
            </w:r>
          </w:p>
        </w:tc>
        <w:tc>
          <w:tcPr>
            <w:tcW w:w="1350" w:type="dxa"/>
            <w:shd w:val="clear" w:color="auto" w:fill="auto"/>
            <w:noWrap/>
            <w:vAlign w:val="bottom"/>
          </w:tcPr>
          <w:p w14:paraId="5CB369B2"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25.1</w:t>
            </w:r>
          </w:p>
        </w:tc>
        <w:tc>
          <w:tcPr>
            <w:tcW w:w="1150" w:type="dxa"/>
            <w:shd w:val="clear" w:color="auto" w:fill="auto"/>
            <w:noWrap/>
            <w:vAlign w:val="bottom"/>
          </w:tcPr>
          <w:p w14:paraId="69EAB132" w14:textId="0B243BEF"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t>
            </w:r>
            <w:r w:rsidRPr="00813656">
              <w:rPr>
                <w:rFonts w:ascii="Calibri" w:eastAsia="Times New Roman" w:hAnsi="Calibri" w:cs="Calibri"/>
                <w:color w:val="000000"/>
                <w:sz w:val="22"/>
                <w:szCs w:val="22"/>
                <w:lang w:eastAsia="en-US"/>
              </w:rPr>
              <w:t>8.1</w:t>
            </w:r>
          </w:p>
        </w:tc>
        <w:tc>
          <w:tcPr>
            <w:tcW w:w="1150" w:type="dxa"/>
            <w:vAlign w:val="bottom"/>
          </w:tcPr>
          <w:p w14:paraId="6B9CBBB4"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47.6%</w:t>
            </w:r>
          </w:p>
        </w:tc>
      </w:tr>
      <w:tr w:rsidR="00A952B6" w:rsidRPr="00AA03ED" w14:paraId="5E489E01" w14:textId="77777777" w:rsidTr="000B38BE">
        <w:trPr>
          <w:trHeight w:val="288"/>
          <w:jc w:val="center"/>
        </w:trPr>
        <w:tc>
          <w:tcPr>
            <w:tcW w:w="1885" w:type="dxa"/>
            <w:shd w:val="clear" w:color="auto" w:fill="auto"/>
            <w:noWrap/>
            <w:vAlign w:val="bottom"/>
          </w:tcPr>
          <w:p w14:paraId="1FBA2C9B" w14:textId="3E38AD4D"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444E0A01"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6,436</w:t>
            </w:r>
          </w:p>
        </w:tc>
        <w:tc>
          <w:tcPr>
            <w:tcW w:w="1620" w:type="dxa"/>
            <w:shd w:val="clear" w:color="auto" w:fill="auto"/>
            <w:noWrap/>
            <w:vAlign w:val="bottom"/>
          </w:tcPr>
          <w:p w14:paraId="00E29E16"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18</w:t>
            </w:r>
          </w:p>
        </w:tc>
        <w:tc>
          <w:tcPr>
            <w:tcW w:w="1350" w:type="dxa"/>
            <w:shd w:val="clear" w:color="auto" w:fill="auto"/>
            <w:noWrap/>
            <w:vAlign w:val="bottom"/>
          </w:tcPr>
          <w:p w14:paraId="10D75DAE"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24.7</w:t>
            </w:r>
          </w:p>
        </w:tc>
        <w:tc>
          <w:tcPr>
            <w:tcW w:w="1150" w:type="dxa"/>
            <w:shd w:val="clear" w:color="auto" w:fill="auto"/>
            <w:noWrap/>
            <w:vAlign w:val="bottom"/>
          </w:tcPr>
          <w:p w14:paraId="31318BB8" w14:textId="2C1DB7E3"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t>
            </w:r>
            <w:r w:rsidRPr="00813656">
              <w:rPr>
                <w:rFonts w:ascii="Calibri" w:eastAsia="Times New Roman" w:hAnsi="Calibri" w:cs="Calibri"/>
                <w:color w:val="000000"/>
                <w:sz w:val="22"/>
                <w:szCs w:val="22"/>
                <w:lang w:eastAsia="en-US"/>
              </w:rPr>
              <w:t>6.7</w:t>
            </w:r>
          </w:p>
        </w:tc>
        <w:tc>
          <w:tcPr>
            <w:tcW w:w="1150" w:type="dxa"/>
            <w:vAlign w:val="bottom"/>
          </w:tcPr>
          <w:p w14:paraId="54C9D6F7"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37.2%</w:t>
            </w:r>
          </w:p>
        </w:tc>
      </w:tr>
      <w:tr w:rsidR="00A952B6" w:rsidRPr="00AA03ED" w14:paraId="21207C33" w14:textId="77777777" w:rsidTr="000B38BE">
        <w:trPr>
          <w:trHeight w:val="288"/>
          <w:jc w:val="center"/>
        </w:trPr>
        <w:tc>
          <w:tcPr>
            <w:tcW w:w="1885" w:type="dxa"/>
            <w:shd w:val="clear" w:color="auto" w:fill="auto"/>
            <w:noWrap/>
            <w:vAlign w:val="bottom"/>
          </w:tcPr>
          <w:p w14:paraId="22E26D79" w14:textId="56772ECB"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638E7E04"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2,841</w:t>
            </w:r>
          </w:p>
        </w:tc>
        <w:tc>
          <w:tcPr>
            <w:tcW w:w="1620" w:type="dxa"/>
            <w:shd w:val="clear" w:color="auto" w:fill="auto"/>
            <w:noWrap/>
            <w:vAlign w:val="bottom"/>
          </w:tcPr>
          <w:p w14:paraId="6C854F18"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19</w:t>
            </w:r>
          </w:p>
        </w:tc>
        <w:tc>
          <w:tcPr>
            <w:tcW w:w="1350" w:type="dxa"/>
            <w:shd w:val="clear" w:color="auto" w:fill="auto"/>
            <w:noWrap/>
            <w:vAlign w:val="bottom"/>
          </w:tcPr>
          <w:p w14:paraId="51383E49"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27.9</w:t>
            </w:r>
          </w:p>
        </w:tc>
        <w:tc>
          <w:tcPr>
            <w:tcW w:w="1150" w:type="dxa"/>
            <w:shd w:val="clear" w:color="auto" w:fill="auto"/>
            <w:noWrap/>
            <w:vAlign w:val="bottom"/>
          </w:tcPr>
          <w:p w14:paraId="75BA4604" w14:textId="081C09B5"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t>
            </w:r>
            <w:r w:rsidRPr="00813656">
              <w:rPr>
                <w:rFonts w:ascii="Calibri" w:eastAsia="Times New Roman" w:hAnsi="Calibri" w:cs="Calibri"/>
                <w:color w:val="000000"/>
                <w:sz w:val="22"/>
                <w:szCs w:val="22"/>
                <w:lang w:eastAsia="en-US"/>
              </w:rPr>
              <w:t>8.9</w:t>
            </w:r>
          </w:p>
        </w:tc>
        <w:tc>
          <w:tcPr>
            <w:tcW w:w="1150" w:type="dxa"/>
            <w:vAlign w:val="bottom"/>
          </w:tcPr>
          <w:p w14:paraId="061CFCF2" w14:textId="77777777" w:rsidR="00A952B6" w:rsidRPr="00813656" w:rsidRDefault="00A952B6" w:rsidP="00A952B6">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46.8%</w:t>
            </w:r>
          </w:p>
        </w:tc>
      </w:tr>
      <w:tr w:rsidR="003C4A56" w:rsidRPr="00AA03ED" w14:paraId="34331F90" w14:textId="77777777" w:rsidTr="000B38BE">
        <w:trPr>
          <w:trHeight w:val="288"/>
          <w:jc w:val="center"/>
        </w:trPr>
        <w:tc>
          <w:tcPr>
            <w:tcW w:w="1885" w:type="dxa"/>
            <w:shd w:val="clear" w:color="auto" w:fill="auto"/>
            <w:noWrap/>
            <w:vAlign w:val="bottom"/>
          </w:tcPr>
          <w:p w14:paraId="7649716A" w14:textId="354B12E4"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Model 1</w:t>
            </w:r>
          </w:p>
        </w:tc>
        <w:tc>
          <w:tcPr>
            <w:tcW w:w="1107" w:type="dxa"/>
            <w:shd w:val="clear" w:color="auto" w:fill="auto"/>
            <w:noWrap/>
            <w:vAlign w:val="bottom"/>
          </w:tcPr>
          <w:p w14:paraId="7A90D4E2" w14:textId="77777777"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6,295</w:t>
            </w:r>
          </w:p>
        </w:tc>
        <w:tc>
          <w:tcPr>
            <w:tcW w:w="1620" w:type="dxa"/>
            <w:shd w:val="clear" w:color="auto" w:fill="auto"/>
            <w:noWrap/>
            <w:vAlign w:val="bottom"/>
          </w:tcPr>
          <w:p w14:paraId="2143D92A" w14:textId="77777777"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20</w:t>
            </w:r>
          </w:p>
        </w:tc>
        <w:tc>
          <w:tcPr>
            <w:tcW w:w="1350" w:type="dxa"/>
            <w:shd w:val="clear" w:color="auto" w:fill="auto"/>
            <w:noWrap/>
            <w:vAlign w:val="bottom"/>
          </w:tcPr>
          <w:p w14:paraId="42EEEBDC" w14:textId="77777777"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28.0</w:t>
            </w:r>
          </w:p>
        </w:tc>
        <w:tc>
          <w:tcPr>
            <w:tcW w:w="1150" w:type="dxa"/>
            <w:shd w:val="clear" w:color="auto" w:fill="auto"/>
            <w:noWrap/>
            <w:vAlign w:val="bottom"/>
          </w:tcPr>
          <w:p w14:paraId="62DB3B53" w14:textId="36AD1BFA" w:rsidR="003C4A56" w:rsidRPr="00813656" w:rsidRDefault="00A952B6" w:rsidP="000B38BE">
            <w:pPr>
              <w:spacing w:line="240" w:lineRule="auto"/>
              <w:ind w:firstLine="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t>
            </w:r>
            <w:r w:rsidR="003C4A56" w:rsidRPr="00813656">
              <w:rPr>
                <w:rFonts w:ascii="Calibri" w:eastAsia="Times New Roman" w:hAnsi="Calibri" w:cs="Calibri"/>
                <w:color w:val="000000"/>
                <w:sz w:val="22"/>
                <w:szCs w:val="22"/>
                <w:lang w:eastAsia="en-US"/>
              </w:rPr>
              <w:t>8.0</w:t>
            </w:r>
          </w:p>
        </w:tc>
        <w:tc>
          <w:tcPr>
            <w:tcW w:w="1150" w:type="dxa"/>
            <w:vAlign w:val="bottom"/>
          </w:tcPr>
          <w:p w14:paraId="0F7FC848" w14:textId="77777777"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40.0%</w:t>
            </w:r>
          </w:p>
        </w:tc>
      </w:tr>
      <w:tr w:rsidR="003C4A56" w:rsidRPr="00AA03ED" w14:paraId="711B9ADD" w14:textId="77777777" w:rsidTr="000B38BE">
        <w:trPr>
          <w:trHeight w:val="288"/>
          <w:jc w:val="center"/>
        </w:trPr>
        <w:tc>
          <w:tcPr>
            <w:tcW w:w="1885" w:type="dxa"/>
            <w:shd w:val="clear" w:color="auto" w:fill="auto"/>
            <w:noWrap/>
            <w:vAlign w:val="bottom"/>
          </w:tcPr>
          <w:p w14:paraId="284EB400" w14:textId="77777777"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p>
        </w:tc>
        <w:tc>
          <w:tcPr>
            <w:tcW w:w="1107" w:type="dxa"/>
            <w:shd w:val="clear" w:color="auto" w:fill="auto"/>
            <w:noWrap/>
            <w:vAlign w:val="bottom"/>
          </w:tcPr>
          <w:p w14:paraId="6E5C31EC" w14:textId="77777777"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p>
        </w:tc>
        <w:tc>
          <w:tcPr>
            <w:tcW w:w="1620" w:type="dxa"/>
            <w:shd w:val="clear" w:color="auto" w:fill="auto"/>
            <w:noWrap/>
            <w:vAlign w:val="bottom"/>
          </w:tcPr>
          <w:p w14:paraId="61F42757" w14:textId="77777777"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p>
        </w:tc>
        <w:tc>
          <w:tcPr>
            <w:tcW w:w="1350" w:type="dxa"/>
            <w:shd w:val="clear" w:color="auto" w:fill="auto"/>
            <w:noWrap/>
            <w:vAlign w:val="bottom"/>
          </w:tcPr>
          <w:p w14:paraId="6E961124" w14:textId="77777777"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p>
        </w:tc>
        <w:tc>
          <w:tcPr>
            <w:tcW w:w="1150" w:type="dxa"/>
            <w:shd w:val="clear" w:color="auto" w:fill="auto"/>
            <w:noWrap/>
            <w:vAlign w:val="bottom"/>
          </w:tcPr>
          <w:p w14:paraId="0E1C786F" w14:textId="77777777"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p>
        </w:tc>
        <w:tc>
          <w:tcPr>
            <w:tcW w:w="1150" w:type="dxa"/>
            <w:vAlign w:val="bottom"/>
          </w:tcPr>
          <w:p w14:paraId="7544F298" w14:textId="77777777"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p>
        </w:tc>
      </w:tr>
      <w:tr w:rsidR="003C4A56" w:rsidRPr="00AA03ED" w14:paraId="1A5DEA85" w14:textId="77777777" w:rsidTr="000B38BE">
        <w:trPr>
          <w:trHeight w:val="288"/>
          <w:jc w:val="center"/>
        </w:trPr>
        <w:tc>
          <w:tcPr>
            <w:tcW w:w="1885" w:type="dxa"/>
            <w:shd w:val="clear" w:color="auto" w:fill="auto"/>
            <w:noWrap/>
            <w:vAlign w:val="bottom"/>
          </w:tcPr>
          <w:p w14:paraId="4B1114FC" w14:textId="77777777"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Total</w:t>
            </w:r>
          </w:p>
        </w:tc>
        <w:tc>
          <w:tcPr>
            <w:tcW w:w="1107" w:type="dxa"/>
            <w:shd w:val="clear" w:color="auto" w:fill="auto"/>
            <w:noWrap/>
            <w:vAlign w:val="bottom"/>
          </w:tcPr>
          <w:p w14:paraId="695ED565" w14:textId="77777777"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339,346</w:t>
            </w:r>
          </w:p>
        </w:tc>
        <w:tc>
          <w:tcPr>
            <w:tcW w:w="1620" w:type="dxa"/>
            <w:shd w:val="clear" w:color="auto" w:fill="auto"/>
            <w:noWrap/>
            <w:vAlign w:val="bottom"/>
          </w:tcPr>
          <w:p w14:paraId="762D7953" w14:textId="77777777"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6.66</w:t>
            </w:r>
          </w:p>
        </w:tc>
        <w:tc>
          <w:tcPr>
            <w:tcW w:w="1350" w:type="dxa"/>
            <w:shd w:val="clear" w:color="auto" w:fill="auto"/>
            <w:noWrap/>
            <w:vAlign w:val="bottom"/>
          </w:tcPr>
          <w:p w14:paraId="49946C19" w14:textId="77777777" w:rsidR="003C4A56" w:rsidRPr="00813656" w:rsidRDefault="003C4A56"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9.65</w:t>
            </w:r>
          </w:p>
        </w:tc>
        <w:tc>
          <w:tcPr>
            <w:tcW w:w="1150" w:type="dxa"/>
            <w:shd w:val="clear" w:color="auto" w:fill="auto"/>
            <w:noWrap/>
            <w:vAlign w:val="bottom"/>
          </w:tcPr>
          <w:p w14:paraId="5E03DA2A" w14:textId="2A171AA4" w:rsidR="003C4A56" w:rsidRPr="00813656" w:rsidRDefault="00A952B6" w:rsidP="000B38BE">
            <w:pPr>
              <w:spacing w:line="240" w:lineRule="auto"/>
              <w:ind w:firstLine="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t>
            </w:r>
            <w:r w:rsidR="003C4A56" w:rsidRPr="00813656">
              <w:rPr>
                <w:rFonts w:ascii="Calibri" w:eastAsia="Times New Roman" w:hAnsi="Calibri" w:cs="Calibri"/>
                <w:color w:val="000000"/>
                <w:sz w:val="22"/>
                <w:szCs w:val="22"/>
                <w:lang w:eastAsia="en-US"/>
              </w:rPr>
              <w:t>2.98</w:t>
            </w:r>
          </w:p>
        </w:tc>
        <w:tc>
          <w:tcPr>
            <w:tcW w:w="1150" w:type="dxa"/>
            <w:vAlign w:val="bottom"/>
          </w:tcPr>
          <w:p w14:paraId="54D56A5A" w14:textId="77777777" w:rsidR="003C4A56" w:rsidRDefault="003C4A56"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57.7%</w:t>
            </w:r>
          </w:p>
        </w:tc>
      </w:tr>
    </w:tbl>
    <w:p w14:paraId="1FFAB268" w14:textId="77777777" w:rsidR="003C4A56" w:rsidRDefault="003C4A56" w:rsidP="003C4A56">
      <w:pPr>
        <w:pStyle w:val="NoSpacing"/>
        <w:keepNext/>
        <w:spacing w:after="240" w:line="240" w:lineRule="auto"/>
        <w:rPr>
          <w:rFonts w:ascii="Times New Roman" w:hAnsi="Times New Roman" w:cs="Times New Roman"/>
          <w:b/>
        </w:rPr>
      </w:pPr>
    </w:p>
    <w:p w14:paraId="010FF33A" w14:textId="77777777" w:rsidR="003C4A56" w:rsidRDefault="003C4A56" w:rsidP="003C4A56">
      <w:pPr>
        <w:pStyle w:val="NoSpacing"/>
        <w:keepNext/>
        <w:spacing w:after="240" w:line="240" w:lineRule="auto"/>
        <w:rPr>
          <w:rFonts w:ascii="Times New Roman" w:hAnsi="Times New Roman" w:cs="Times New Roman"/>
          <w:b/>
        </w:rPr>
      </w:pPr>
    </w:p>
    <w:p w14:paraId="2591954A" w14:textId="77777777" w:rsidR="00813656" w:rsidRDefault="00813656">
      <w:pPr>
        <w:rPr>
          <w:rFonts w:asciiTheme="majorHAnsi" w:hAnsiTheme="majorHAnsi" w:cstheme="majorHAnsi"/>
          <w:b/>
        </w:rPr>
      </w:pPr>
      <w:r>
        <w:rPr>
          <w:rFonts w:asciiTheme="majorHAnsi" w:hAnsiTheme="majorHAnsi" w:cstheme="majorHAnsi"/>
          <w:b/>
        </w:rPr>
        <w:br w:type="page"/>
      </w:r>
    </w:p>
    <w:p w14:paraId="47A874B7" w14:textId="137C3ADA" w:rsidR="0018387E" w:rsidRDefault="00F37CA4" w:rsidP="00534CF9">
      <w:pPr>
        <w:pStyle w:val="NoSpacing"/>
        <w:keepNext/>
        <w:spacing w:after="240" w:line="240" w:lineRule="auto"/>
        <w:rPr>
          <w:rFonts w:asciiTheme="majorHAnsi" w:hAnsiTheme="majorHAnsi" w:cstheme="majorHAnsi"/>
        </w:rPr>
      </w:pPr>
      <w:r w:rsidRPr="00813656">
        <w:rPr>
          <w:rFonts w:asciiTheme="majorHAnsi" w:hAnsiTheme="majorHAnsi" w:cstheme="majorHAnsi"/>
          <w:b/>
        </w:rPr>
        <w:lastRenderedPageBreak/>
        <w:t>Exhibit 4:</w:t>
      </w:r>
      <w:r w:rsidRPr="00813656">
        <w:rPr>
          <w:rFonts w:asciiTheme="majorHAnsi" w:hAnsiTheme="majorHAnsi" w:cstheme="majorHAnsi"/>
        </w:rPr>
        <w:t xml:space="preserve"> </w:t>
      </w:r>
      <w:r w:rsidR="00884A7C">
        <w:rPr>
          <w:rFonts w:asciiTheme="majorHAnsi" w:hAnsiTheme="majorHAnsi" w:cstheme="majorHAnsi"/>
        </w:rPr>
        <w:t xml:space="preserve">Summary of the </w:t>
      </w:r>
      <w:r w:rsidRPr="00813656">
        <w:rPr>
          <w:rFonts w:asciiTheme="majorHAnsi" w:hAnsiTheme="majorHAnsi" w:cstheme="majorHAnsi"/>
        </w:rPr>
        <w:t>AVM-by-FSD analysis</w:t>
      </w:r>
      <w:r w:rsidR="00884A7C">
        <w:rPr>
          <w:rFonts w:asciiTheme="majorHAnsi" w:hAnsiTheme="majorHAnsi" w:cstheme="majorHAnsi"/>
        </w:rPr>
        <w:t>, where the</w:t>
      </w:r>
      <w:r w:rsidRPr="00813656">
        <w:rPr>
          <w:rFonts w:asciiTheme="majorHAnsi" w:hAnsiTheme="majorHAnsi" w:cstheme="majorHAnsi"/>
        </w:rPr>
        <w:t xml:space="preserve"> </w:t>
      </w:r>
      <w:r w:rsidR="00EA0436">
        <w:rPr>
          <w:rFonts w:asciiTheme="majorHAnsi" w:hAnsiTheme="majorHAnsi" w:cstheme="majorHAnsi"/>
        </w:rPr>
        <w:t>results</w:t>
      </w:r>
      <w:r w:rsidR="00884A7C">
        <w:rPr>
          <w:rFonts w:asciiTheme="majorHAnsi" w:hAnsiTheme="majorHAnsi" w:cstheme="majorHAnsi"/>
        </w:rPr>
        <w:t xml:space="preserve"> are</w:t>
      </w:r>
      <w:r w:rsidR="00EA0436">
        <w:rPr>
          <w:rFonts w:asciiTheme="majorHAnsi" w:hAnsiTheme="majorHAnsi" w:cstheme="majorHAnsi"/>
        </w:rPr>
        <w:t xml:space="preserve"> averaged </w:t>
      </w:r>
      <w:r w:rsidR="00B25B81">
        <w:rPr>
          <w:rFonts w:asciiTheme="majorHAnsi" w:hAnsiTheme="majorHAnsi" w:cstheme="majorHAnsi"/>
        </w:rPr>
        <w:t>over</w:t>
      </w:r>
      <w:r w:rsidRPr="00813656">
        <w:rPr>
          <w:rFonts w:asciiTheme="majorHAnsi" w:hAnsiTheme="majorHAnsi" w:cstheme="majorHAnsi"/>
        </w:rPr>
        <w:t xml:space="preserve"> </w:t>
      </w:r>
      <w:r w:rsidR="00EA0436">
        <w:rPr>
          <w:rFonts w:asciiTheme="majorHAnsi" w:hAnsiTheme="majorHAnsi" w:cstheme="majorHAnsi"/>
        </w:rPr>
        <w:t xml:space="preserve">all 15 AVMs using </w:t>
      </w:r>
      <w:r w:rsidR="001E1AE7">
        <w:rPr>
          <w:rFonts w:cstheme="minorHAnsi"/>
        </w:rPr>
        <w:t xml:space="preserve">455,563 </w:t>
      </w:r>
      <w:r w:rsidR="001E1AE7">
        <w:rPr>
          <w:rFonts w:asciiTheme="majorHAnsi" w:hAnsiTheme="majorHAnsi" w:cstheme="majorHAnsi"/>
        </w:rPr>
        <w:t>sales</w:t>
      </w:r>
      <w:r w:rsidRPr="00813656">
        <w:rPr>
          <w:rFonts w:asciiTheme="majorHAnsi" w:hAnsiTheme="majorHAnsi" w:cstheme="majorHAnsi"/>
        </w:rPr>
        <w:t xml:space="preserve"> across the United States in Q3</w:t>
      </w:r>
      <w:r w:rsidR="002E420E">
        <w:rPr>
          <w:rFonts w:asciiTheme="majorHAnsi" w:hAnsiTheme="majorHAnsi" w:cstheme="majorHAnsi"/>
        </w:rPr>
        <w:t xml:space="preserve"> of</w:t>
      </w:r>
      <w:r w:rsidRPr="00813656">
        <w:rPr>
          <w:rFonts w:asciiTheme="majorHAnsi" w:hAnsiTheme="majorHAnsi" w:cstheme="majorHAnsi"/>
        </w:rPr>
        <w:t xml:space="preserve"> 2018.</w:t>
      </w:r>
      <w:r w:rsidR="00043846">
        <w:rPr>
          <w:rFonts w:asciiTheme="majorHAnsi" w:hAnsiTheme="majorHAnsi" w:cstheme="majorHAnsi"/>
        </w:rPr>
        <w:t xml:space="preserve">  </w:t>
      </w:r>
      <w:r w:rsidR="0036039F">
        <w:rPr>
          <w:rFonts w:asciiTheme="majorHAnsi" w:hAnsiTheme="majorHAnsi" w:cstheme="majorHAnsi"/>
        </w:rPr>
        <w:t>Note that the vendor-reported FSD is statistically significantly different from the Observed Standard Deviation for each of the 15 different vendor-reported FSDs for the 15 AVMs (p-value &lt; 0.001, for each).</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107"/>
        <w:gridCol w:w="1620"/>
        <w:gridCol w:w="1350"/>
        <w:gridCol w:w="1150"/>
      </w:tblGrid>
      <w:tr w:rsidR="00534CF9" w:rsidRPr="00AA03ED" w14:paraId="7A97E0E1" w14:textId="77777777" w:rsidTr="000B38BE">
        <w:trPr>
          <w:trHeight w:val="312"/>
          <w:jc w:val="center"/>
        </w:trPr>
        <w:tc>
          <w:tcPr>
            <w:tcW w:w="1885" w:type="dxa"/>
            <w:shd w:val="clear" w:color="auto" w:fill="auto"/>
            <w:noWrap/>
            <w:vAlign w:val="bottom"/>
            <w:hideMark/>
          </w:tcPr>
          <w:p w14:paraId="131A9B43" w14:textId="77777777" w:rsidR="00534CF9" w:rsidRDefault="00534CF9"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AVM</w:t>
            </w:r>
          </w:p>
          <w:p w14:paraId="7EC327B6" w14:textId="77777777" w:rsidR="00534CF9" w:rsidRDefault="00534CF9" w:rsidP="000B38BE">
            <w:pPr>
              <w:spacing w:line="240" w:lineRule="auto"/>
              <w:ind w:firstLine="0"/>
              <w:jc w:val="center"/>
              <w:rPr>
                <w:rFonts w:ascii="Calibri" w:eastAsia="Times New Roman" w:hAnsi="Calibri" w:cs="Calibri"/>
                <w:color w:val="000000"/>
                <w:sz w:val="22"/>
                <w:szCs w:val="22"/>
                <w:lang w:eastAsia="en-US"/>
              </w:rPr>
            </w:pPr>
          </w:p>
          <w:p w14:paraId="1FD7712C" w14:textId="77777777" w:rsidR="00534CF9" w:rsidRPr="00AA03ED" w:rsidRDefault="00534CF9" w:rsidP="000B38BE">
            <w:pPr>
              <w:spacing w:line="240" w:lineRule="auto"/>
              <w:ind w:firstLine="0"/>
              <w:jc w:val="center"/>
              <w:rPr>
                <w:rFonts w:ascii="Times New Roman" w:eastAsia="Times New Roman" w:hAnsi="Times New Roman" w:cs="Times New Roman"/>
                <w:color w:val="000000"/>
                <w:sz w:val="22"/>
                <w:szCs w:val="22"/>
                <w:lang w:eastAsia="en-US"/>
              </w:rPr>
            </w:pPr>
          </w:p>
        </w:tc>
        <w:tc>
          <w:tcPr>
            <w:tcW w:w="1080" w:type="dxa"/>
            <w:shd w:val="clear" w:color="auto" w:fill="auto"/>
            <w:noWrap/>
            <w:vAlign w:val="bottom"/>
            <w:hideMark/>
          </w:tcPr>
          <w:p w14:paraId="271D68CC" w14:textId="77777777" w:rsidR="00534CF9" w:rsidRDefault="00534CF9"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Hits</w:t>
            </w:r>
          </w:p>
          <w:p w14:paraId="2E4A1C59" w14:textId="77777777" w:rsidR="00534CF9" w:rsidRDefault="00534CF9" w:rsidP="000B38BE">
            <w:pPr>
              <w:spacing w:line="240" w:lineRule="auto"/>
              <w:ind w:firstLine="0"/>
              <w:jc w:val="center"/>
              <w:rPr>
                <w:rFonts w:ascii="Calibri" w:eastAsia="Times New Roman" w:hAnsi="Calibri" w:cs="Calibri"/>
                <w:color w:val="000000"/>
                <w:sz w:val="22"/>
                <w:szCs w:val="22"/>
                <w:lang w:eastAsia="en-US"/>
              </w:rPr>
            </w:pPr>
          </w:p>
          <w:p w14:paraId="6C2E4BAF" w14:textId="77777777" w:rsidR="00534CF9" w:rsidRPr="009F1E1F" w:rsidRDefault="00534CF9" w:rsidP="000B38BE">
            <w:pPr>
              <w:spacing w:line="240" w:lineRule="auto"/>
              <w:ind w:firstLine="0"/>
              <w:jc w:val="center"/>
              <w:rPr>
                <w:rFonts w:ascii="Times New Roman" w:eastAsia="Times New Roman" w:hAnsi="Times New Roman" w:cs="Times New Roman"/>
                <w:color w:val="auto"/>
                <w:lang w:eastAsia="en-US"/>
              </w:rPr>
            </w:pPr>
          </w:p>
        </w:tc>
        <w:tc>
          <w:tcPr>
            <w:tcW w:w="1620" w:type="dxa"/>
            <w:shd w:val="clear" w:color="auto" w:fill="auto"/>
            <w:noWrap/>
            <w:vAlign w:val="bottom"/>
            <w:hideMark/>
          </w:tcPr>
          <w:p w14:paraId="471A721C" w14:textId="77777777" w:rsidR="00534CF9" w:rsidRDefault="00534CF9"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Av</w:t>
            </w:r>
            <w:r>
              <w:rPr>
                <w:rFonts w:ascii="Calibri" w:eastAsia="Times New Roman" w:hAnsi="Calibri" w:cs="Calibri"/>
                <w:color w:val="000000"/>
                <w:sz w:val="22"/>
                <w:szCs w:val="22"/>
                <w:lang w:eastAsia="en-US"/>
              </w:rPr>
              <w:t>erage</w:t>
            </w:r>
            <w:r w:rsidRPr="00813656">
              <w:rPr>
                <w:rFonts w:ascii="Calibri" w:eastAsia="Times New Roman" w:hAnsi="Calibri" w:cs="Calibri"/>
                <w:color w:val="000000"/>
                <w:sz w:val="22"/>
                <w:szCs w:val="22"/>
                <w:lang w:eastAsia="en-US"/>
              </w:rPr>
              <w:t xml:space="preserve"> V</w:t>
            </w:r>
            <w:r>
              <w:rPr>
                <w:rFonts w:ascii="Calibri" w:eastAsia="Times New Roman" w:hAnsi="Calibri" w:cs="Calibri"/>
                <w:color w:val="000000"/>
                <w:sz w:val="22"/>
                <w:szCs w:val="22"/>
                <w:lang w:eastAsia="en-US"/>
              </w:rPr>
              <w:t>endor-</w:t>
            </w:r>
          </w:p>
          <w:p w14:paraId="5C9867A0" w14:textId="77777777" w:rsidR="00534CF9" w:rsidRPr="009F1E1F" w:rsidRDefault="00534CF9" w:rsidP="000B38BE">
            <w:pPr>
              <w:spacing w:line="240" w:lineRule="auto"/>
              <w:ind w:firstLine="0"/>
              <w:jc w:val="center"/>
              <w:rPr>
                <w:rFonts w:ascii="Times New Roman" w:eastAsia="Times New Roman" w:hAnsi="Times New Roman" w:cs="Times New Roman"/>
                <w:color w:val="auto"/>
                <w:lang w:eastAsia="en-US"/>
              </w:rPr>
            </w:pPr>
            <w:r>
              <w:rPr>
                <w:rFonts w:ascii="Calibri" w:eastAsia="Times New Roman" w:hAnsi="Calibri" w:cs="Calibri"/>
                <w:color w:val="000000"/>
                <w:sz w:val="22"/>
                <w:szCs w:val="22"/>
                <w:lang w:eastAsia="en-US"/>
              </w:rPr>
              <w:t>Reported</w:t>
            </w:r>
            <w:r w:rsidRPr="00813656">
              <w:rPr>
                <w:rFonts w:ascii="Calibri" w:eastAsia="Times New Roman" w:hAnsi="Calibri" w:cs="Calibri"/>
                <w:color w:val="000000"/>
                <w:sz w:val="22"/>
                <w:szCs w:val="22"/>
                <w:lang w:eastAsia="en-US"/>
              </w:rPr>
              <w:t xml:space="preserve"> FSD</w:t>
            </w:r>
          </w:p>
        </w:tc>
        <w:tc>
          <w:tcPr>
            <w:tcW w:w="1350" w:type="dxa"/>
            <w:shd w:val="clear" w:color="auto" w:fill="auto"/>
            <w:noWrap/>
            <w:vAlign w:val="bottom"/>
            <w:hideMark/>
          </w:tcPr>
          <w:p w14:paraId="5DCC3B97" w14:textId="77777777" w:rsidR="00534CF9" w:rsidRDefault="00534CF9"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Av</w:t>
            </w:r>
            <w:r>
              <w:rPr>
                <w:rFonts w:ascii="Calibri" w:eastAsia="Times New Roman" w:hAnsi="Calibri" w:cs="Calibri"/>
                <w:color w:val="000000"/>
                <w:sz w:val="22"/>
                <w:szCs w:val="22"/>
                <w:lang w:eastAsia="en-US"/>
              </w:rPr>
              <w:t>erage</w:t>
            </w:r>
            <w:r w:rsidRPr="00813656">
              <w:rPr>
                <w:rFonts w:ascii="Calibri" w:eastAsia="Times New Roman" w:hAnsi="Calibri" w:cs="Calibri"/>
                <w:color w:val="000000"/>
                <w:sz w:val="22"/>
                <w:szCs w:val="22"/>
                <w:lang w:eastAsia="en-US"/>
              </w:rPr>
              <w:t xml:space="preserve"> Obs</w:t>
            </w:r>
            <w:r>
              <w:rPr>
                <w:rFonts w:ascii="Calibri" w:eastAsia="Times New Roman" w:hAnsi="Calibri" w:cs="Calibri"/>
                <w:color w:val="000000"/>
                <w:sz w:val="22"/>
                <w:szCs w:val="22"/>
                <w:lang w:eastAsia="en-US"/>
              </w:rPr>
              <w:t>erved</w:t>
            </w:r>
          </w:p>
          <w:p w14:paraId="7F170138" w14:textId="4695DE8B" w:rsidR="00534CF9" w:rsidRPr="009F1E1F" w:rsidRDefault="00534CF9" w:rsidP="000B38BE">
            <w:pPr>
              <w:spacing w:line="240" w:lineRule="auto"/>
              <w:ind w:firstLine="0"/>
              <w:jc w:val="center"/>
              <w:rPr>
                <w:rFonts w:ascii="Times New Roman" w:eastAsia="Times New Roman" w:hAnsi="Times New Roman" w:cs="Times New Roman"/>
                <w:color w:val="auto"/>
                <w:lang w:eastAsia="en-US"/>
              </w:rPr>
            </w:pPr>
            <w:r w:rsidRPr="00813656">
              <w:rPr>
                <w:rFonts w:ascii="Calibri" w:eastAsia="Times New Roman" w:hAnsi="Calibri" w:cs="Calibri"/>
                <w:color w:val="000000"/>
                <w:sz w:val="22"/>
                <w:szCs w:val="22"/>
                <w:lang w:eastAsia="en-US"/>
              </w:rPr>
              <w:t xml:space="preserve"> </w:t>
            </w:r>
            <w:r w:rsidR="00043846">
              <w:rPr>
                <w:rFonts w:ascii="Calibri" w:eastAsia="Times New Roman" w:hAnsi="Calibri" w:cs="Calibri"/>
                <w:color w:val="000000"/>
                <w:sz w:val="22"/>
                <w:szCs w:val="22"/>
                <w:lang w:eastAsia="en-US"/>
              </w:rPr>
              <w:t>St Dev</w:t>
            </w:r>
          </w:p>
        </w:tc>
        <w:tc>
          <w:tcPr>
            <w:tcW w:w="1150" w:type="dxa"/>
            <w:shd w:val="clear" w:color="auto" w:fill="auto"/>
            <w:noWrap/>
            <w:vAlign w:val="bottom"/>
            <w:hideMark/>
          </w:tcPr>
          <w:p w14:paraId="3096BABB" w14:textId="77777777" w:rsidR="00534CF9" w:rsidRDefault="00534CF9"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Difference</w:t>
            </w:r>
          </w:p>
          <w:p w14:paraId="2186554D" w14:textId="77777777" w:rsidR="00534CF9" w:rsidRDefault="00534CF9" w:rsidP="000B38BE">
            <w:pPr>
              <w:spacing w:line="240" w:lineRule="auto"/>
              <w:ind w:firstLine="0"/>
              <w:jc w:val="center"/>
              <w:rPr>
                <w:rFonts w:ascii="Calibri" w:eastAsia="Times New Roman" w:hAnsi="Calibri" w:cs="Calibri"/>
                <w:color w:val="000000"/>
                <w:sz w:val="22"/>
                <w:szCs w:val="22"/>
                <w:lang w:eastAsia="en-US"/>
              </w:rPr>
            </w:pPr>
          </w:p>
          <w:p w14:paraId="39833BBF" w14:textId="77777777" w:rsidR="00534CF9" w:rsidRPr="009F1E1F" w:rsidRDefault="00534CF9" w:rsidP="000B38BE">
            <w:pPr>
              <w:spacing w:line="240" w:lineRule="auto"/>
              <w:ind w:firstLine="0"/>
              <w:jc w:val="center"/>
              <w:rPr>
                <w:rFonts w:ascii="Times New Roman" w:eastAsia="Times New Roman" w:hAnsi="Times New Roman" w:cs="Times New Roman"/>
                <w:color w:val="auto"/>
                <w:lang w:eastAsia="en-US"/>
              </w:rPr>
            </w:pPr>
          </w:p>
        </w:tc>
      </w:tr>
      <w:tr w:rsidR="00534CF9" w:rsidRPr="00AA03ED" w14:paraId="2E151A8E" w14:textId="77777777" w:rsidTr="000B38BE">
        <w:trPr>
          <w:trHeight w:val="312"/>
          <w:jc w:val="center"/>
        </w:trPr>
        <w:tc>
          <w:tcPr>
            <w:tcW w:w="1885" w:type="dxa"/>
            <w:shd w:val="clear" w:color="auto" w:fill="auto"/>
            <w:noWrap/>
            <w:vAlign w:val="bottom"/>
            <w:hideMark/>
          </w:tcPr>
          <w:p w14:paraId="2F9B176B" w14:textId="77777777" w:rsidR="00534CF9" w:rsidRPr="00AA03ED" w:rsidRDefault="00534CF9" w:rsidP="000B38BE">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w:t>
            </w:r>
          </w:p>
        </w:tc>
        <w:tc>
          <w:tcPr>
            <w:tcW w:w="1080" w:type="dxa"/>
            <w:shd w:val="clear" w:color="auto" w:fill="auto"/>
            <w:noWrap/>
            <w:vAlign w:val="bottom"/>
            <w:hideMark/>
          </w:tcPr>
          <w:p w14:paraId="6BDE2B20" w14:textId="77777777" w:rsidR="00534CF9" w:rsidRPr="009F1E1F" w:rsidRDefault="00534CF9" w:rsidP="000B38BE">
            <w:pPr>
              <w:spacing w:line="240" w:lineRule="auto"/>
              <w:ind w:firstLine="0"/>
              <w:jc w:val="center"/>
              <w:rPr>
                <w:rFonts w:ascii="Times New Roman" w:eastAsia="Times New Roman" w:hAnsi="Times New Roman" w:cs="Times New Roman"/>
                <w:color w:val="auto"/>
                <w:lang w:eastAsia="en-US"/>
              </w:rPr>
            </w:pPr>
            <w:r w:rsidRPr="00813656">
              <w:rPr>
                <w:rFonts w:ascii="Calibri" w:eastAsia="Times New Roman" w:hAnsi="Calibri" w:cs="Calibri"/>
                <w:color w:val="000000"/>
                <w:sz w:val="22"/>
                <w:szCs w:val="22"/>
                <w:lang w:eastAsia="en-US"/>
              </w:rPr>
              <w:t>339,346</w:t>
            </w:r>
          </w:p>
        </w:tc>
        <w:tc>
          <w:tcPr>
            <w:tcW w:w="1620" w:type="dxa"/>
            <w:shd w:val="clear" w:color="auto" w:fill="auto"/>
            <w:noWrap/>
            <w:vAlign w:val="bottom"/>
            <w:hideMark/>
          </w:tcPr>
          <w:p w14:paraId="452960DD" w14:textId="77777777" w:rsidR="00534CF9" w:rsidRPr="009F1E1F" w:rsidRDefault="00534CF9" w:rsidP="000B38BE">
            <w:pPr>
              <w:spacing w:line="240" w:lineRule="auto"/>
              <w:ind w:firstLine="0"/>
              <w:jc w:val="center"/>
              <w:rPr>
                <w:rFonts w:ascii="Times New Roman" w:eastAsia="Times New Roman" w:hAnsi="Times New Roman" w:cs="Times New Roman"/>
                <w:color w:val="auto"/>
                <w:lang w:eastAsia="en-US"/>
              </w:rPr>
            </w:pPr>
            <w:r w:rsidRPr="00813656">
              <w:rPr>
                <w:rFonts w:ascii="Calibri" w:eastAsia="Times New Roman" w:hAnsi="Calibri" w:cs="Calibri"/>
                <w:color w:val="000000"/>
                <w:sz w:val="22"/>
                <w:szCs w:val="22"/>
                <w:lang w:eastAsia="en-US"/>
              </w:rPr>
              <w:t>6.66</w:t>
            </w:r>
          </w:p>
        </w:tc>
        <w:tc>
          <w:tcPr>
            <w:tcW w:w="1350" w:type="dxa"/>
            <w:shd w:val="clear" w:color="auto" w:fill="auto"/>
            <w:noWrap/>
            <w:vAlign w:val="bottom"/>
            <w:hideMark/>
          </w:tcPr>
          <w:p w14:paraId="5F75CA09" w14:textId="77777777" w:rsidR="00534CF9" w:rsidRPr="009F1E1F" w:rsidRDefault="00534CF9" w:rsidP="000B38BE">
            <w:pPr>
              <w:spacing w:line="240" w:lineRule="auto"/>
              <w:ind w:firstLine="0"/>
              <w:jc w:val="center"/>
              <w:rPr>
                <w:rFonts w:ascii="Times New Roman" w:eastAsia="Times New Roman" w:hAnsi="Times New Roman" w:cs="Times New Roman"/>
                <w:color w:val="auto"/>
                <w:lang w:eastAsia="en-US"/>
              </w:rPr>
            </w:pPr>
            <w:r w:rsidRPr="00813656">
              <w:rPr>
                <w:rFonts w:ascii="Calibri" w:eastAsia="Times New Roman" w:hAnsi="Calibri" w:cs="Calibri"/>
                <w:color w:val="000000"/>
                <w:sz w:val="22"/>
                <w:szCs w:val="22"/>
                <w:lang w:eastAsia="en-US"/>
              </w:rPr>
              <w:t>9.65</w:t>
            </w:r>
          </w:p>
        </w:tc>
        <w:tc>
          <w:tcPr>
            <w:tcW w:w="1150" w:type="dxa"/>
            <w:shd w:val="clear" w:color="auto" w:fill="auto"/>
            <w:noWrap/>
            <w:vAlign w:val="bottom"/>
            <w:hideMark/>
          </w:tcPr>
          <w:p w14:paraId="44D4AD9C" w14:textId="77777777" w:rsidR="00534CF9" w:rsidRPr="009F1E1F" w:rsidRDefault="00534CF9" w:rsidP="000B38BE">
            <w:pPr>
              <w:spacing w:line="240" w:lineRule="auto"/>
              <w:ind w:firstLine="0"/>
              <w:jc w:val="center"/>
              <w:rPr>
                <w:rFonts w:ascii="Times New Roman" w:eastAsia="Times New Roman" w:hAnsi="Times New Roman" w:cs="Times New Roman"/>
                <w:color w:val="auto"/>
                <w:lang w:eastAsia="en-US"/>
              </w:rPr>
            </w:pPr>
            <w:r w:rsidRPr="00813656">
              <w:rPr>
                <w:rFonts w:ascii="Calibri" w:eastAsia="Times New Roman" w:hAnsi="Calibri" w:cs="Calibri"/>
                <w:color w:val="000000"/>
                <w:sz w:val="22"/>
                <w:szCs w:val="22"/>
                <w:lang w:eastAsia="en-US"/>
              </w:rPr>
              <w:t>-3.0</w:t>
            </w:r>
          </w:p>
        </w:tc>
      </w:tr>
      <w:tr w:rsidR="00534CF9" w:rsidRPr="00AA03ED" w14:paraId="07B63EC4" w14:textId="77777777" w:rsidTr="000B38BE">
        <w:trPr>
          <w:trHeight w:val="312"/>
          <w:jc w:val="center"/>
        </w:trPr>
        <w:tc>
          <w:tcPr>
            <w:tcW w:w="1885" w:type="dxa"/>
            <w:shd w:val="clear" w:color="auto" w:fill="auto"/>
            <w:noWrap/>
            <w:vAlign w:val="bottom"/>
            <w:hideMark/>
          </w:tcPr>
          <w:p w14:paraId="7AA88E1A" w14:textId="77777777" w:rsidR="00534CF9" w:rsidRPr="00AA03ED" w:rsidRDefault="00534CF9" w:rsidP="000B38BE">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2</w:t>
            </w:r>
          </w:p>
        </w:tc>
        <w:tc>
          <w:tcPr>
            <w:tcW w:w="1080" w:type="dxa"/>
            <w:shd w:val="clear" w:color="auto" w:fill="auto"/>
            <w:noWrap/>
            <w:vAlign w:val="bottom"/>
            <w:hideMark/>
          </w:tcPr>
          <w:p w14:paraId="2F607774" w14:textId="77777777" w:rsidR="00534CF9" w:rsidRPr="009F1E1F" w:rsidRDefault="00534CF9" w:rsidP="000B38BE">
            <w:pPr>
              <w:spacing w:line="240" w:lineRule="auto"/>
              <w:ind w:firstLine="0"/>
              <w:jc w:val="center"/>
              <w:rPr>
                <w:rFonts w:ascii="Times New Roman" w:eastAsia="Times New Roman" w:hAnsi="Times New Roman" w:cs="Times New Roman"/>
                <w:color w:val="auto"/>
                <w:lang w:eastAsia="en-US"/>
              </w:rPr>
            </w:pPr>
            <w:r w:rsidRPr="00813656">
              <w:rPr>
                <w:rFonts w:ascii="Calibri" w:eastAsia="Times New Roman" w:hAnsi="Calibri" w:cs="Calibri"/>
                <w:color w:val="000000"/>
                <w:sz w:val="22"/>
                <w:szCs w:val="22"/>
                <w:lang w:eastAsia="en-US"/>
              </w:rPr>
              <w:t>360,821</w:t>
            </w:r>
          </w:p>
        </w:tc>
        <w:tc>
          <w:tcPr>
            <w:tcW w:w="1620" w:type="dxa"/>
            <w:shd w:val="clear" w:color="auto" w:fill="auto"/>
            <w:noWrap/>
            <w:vAlign w:val="bottom"/>
            <w:hideMark/>
          </w:tcPr>
          <w:p w14:paraId="22D3684C" w14:textId="77777777" w:rsidR="00534CF9" w:rsidRPr="009F1E1F" w:rsidRDefault="00534CF9" w:rsidP="000B38BE">
            <w:pPr>
              <w:spacing w:line="240" w:lineRule="auto"/>
              <w:ind w:firstLine="0"/>
              <w:jc w:val="center"/>
              <w:rPr>
                <w:rFonts w:ascii="Times New Roman" w:eastAsia="Times New Roman" w:hAnsi="Times New Roman" w:cs="Times New Roman"/>
                <w:color w:val="auto"/>
                <w:lang w:eastAsia="en-US"/>
              </w:rPr>
            </w:pPr>
            <w:r w:rsidRPr="00813656">
              <w:rPr>
                <w:rFonts w:ascii="Calibri" w:eastAsia="Times New Roman" w:hAnsi="Calibri" w:cs="Calibri"/>
                <w:color w:val="000000"/>
                <w:sz w:val="22"/>
                <w:szCs w:val="22"/>
                <w:lang w:eastAsia="en-US"/>
              </w:rPr>
              <w:t>7.15</w:t>
            </w:r>
          </w:p>
        </w:tc>
        <w:tc>
          <w:tcPr>
            <w:tcW w:w="1350" w:type="dxa"/>
            <w:shd w:val="clear" w:color="auto" w:fill="auto"/>
            <w:noWrap/>
            <w:vAlign w:val="bottom"/>
            <w:hideMark/>
          </w:tcPr>
          <w:p w14:paraId="2354E635" w14:textId="77777777" w:rsidR="00534CF9" w:rsidRPr="009F1E1F" w:rsidRDefault="00534CF9" w:rsidP="000B38BE">
            <w:pPr>
              <w:spacing w:line="240" w:lineRule="auto"/>
              <w:ind w:firstLine="0"/>
              <w:jc w:val="center"/>
              <w:rPr>
                <w:rFonts w:ascii="Times New Roman" w:eastAsia="Times New Roman" w:hAnsi="Times New Roman" w:cs="Times New Roman"/>
                <w:color w:val="auto"/>
                <w:lang w:eastAsia="en-US"/>
              </w:rPr>
            </w:pPr>
            <w:r w:rsidRPr="00813656">
              <w:rPr>
                <w:rFonts w:ascii="Calibri" w:eastAsia="Times New Roman" w:hAnsi="Calibri" w:cs="Calibri"/>
                <w:color w:val="000000"/>
                <w:sz w:val="22"/>
                <w:szCs w:val="22"/>
                <w:lang w:eastAsia="en-US"/>
              </w:rPr>
              <w:t>10.58</w:t>
            </w:r>
          </w:p>
        </w:tc>
        <w:tc>
          <w:tcPr>
            <w:tcW w:w="1150" w:type="dxa"/>
            <w:shd w:val="clear" w:color="auto" w:fill="auto"/>
            <w:noWrap/>
            <w:vAlign w:val="bottom"/>
            <w:hideMark/>
          </w:tcPr>
          <w:p w14:paraId="0B103462" w14:textId="77777777" w:rsidR="00534CF9" w:rsidRPr="009F1E1F" w:rsidRDefault="00534CF9" w:rsidP="000B38BE">
            <w:pPr>
              <w:spacing w:line="240" w:lineRule="auto"/>
              <w:ind w:firstLine="0"/>
              <w:jc w:val="center"/>
              <w:rPr>
                <w:rFonts w:ascii="Times New Roman" w:eastAsia="Times New Roman" w:hAnsi="Times New Roman" w:cs="Times New Roman"/>
                <w:color w:val="auto"/>
                <w:lang w:eastAsia="en-US"/>
              </w:rPr>
            </w:pPr>
            <w:r w:rsidRPr="00813656">
              <w:rPr>
                <w:rFonts w:ascii="Calibri" w:eastAsia="Times New Roman" w:hAnsi="Calibri" w:cs="Calibri"/>
                <w:color w:val="000000"/>
                <w:sz w:val="22"/>
                <w:szCs w:val="22"/>
                <w:lang w:eastAsia="en-US"/>
              </w:rPr>
              <w:t>-3.4</w:t>
            </w:r>
          </w:p>
        </w:tc>
      </w:tr>
      <w:tr w:rsidR="00534CF9" w:rsidRPr="00AA03ED" w14:paraId="0C634834" w14:textId="77777777" w:rsidTr="000B38BE">
        <w:trPr>
          <w:trHeight w:val="288"/>
          <w:jc w:val="center"/>
        </w:trPr>
        <w:tc>
          <w:tcPr>
            <w:tcW w:w="1885" w:type="dxa"/>
            <w:shd w:val="clear" w:color="auto" w:fill="auto"/>
            <w:noWrap/>
            <w:vAlign w:val="bottom"/>
            <w:hideMark/>
          </w:tcPr>
          <w:p w14:paraId="75928A4A" w14:textId="77777777" w:rsidR="00534CF9" w:rsidRPr="00AA03ED" w:rsidRDefault="00534CF9" w:rsidP="000B38BE">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3</w:t>
            </w:r>
          </w:p>
        </w:tc>
        <w:tc>
          <w:tcPr>
            <w:tcW w:w="1080" w:type="dxa"/>
            <w:shd w:val="clear" w:color="auto" w:fill="auto"/>
            <w:noWrap/>
            <w:vAlign w:val="bottom"/>
            <w:hideMark/>
          </w:tcPr>
          <w:p w14:paraId="11D035B7"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143,924</w:t>
            </w:r>
          </w:p>
        </w:tc>
        <w:tc>
          <w:tcPr>
            <w:tcW w:w="1620" w:type="dxa"/>
            <w:shd w:val="clear" w:color="auto" w:fill="auto"/>
            <w:noWrap/>
            <w:vAlign w:val="bottom"/>
            <w:hideMark/>
          </w:tcPr>
          <w:p w14:paraId="7BA978A1"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5.05</w:t>
            </w:r>
          </w:p>
        </w:tc>
        <w:tc>
          <w:tcPr>
            <w:tcW w:w="1350" w:type="dxa"/>
            <w:shd w:val="clear" w:color="auto" w:fill="auto"/>
            <w:noWrap/>
            <w:vAlign w:val="bottom"/>
            <w:hideMark/>
          </w:tcPr>
          <w:p w14:paraId="2F85BFCF"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11.71</w:t>
            </w:r>
          </w:p>
        </w:tc>
        <w:tc>
          <w:tcPr>
            <w:tcW w:w="1150" w:type="dxa"/>
            <w:shd w:val="clear" w:color="auto" w:fill="auto"/>
            <w:noWrap/>
            <w:vAlign w:val="bottom"/>
            <w:hideMark/>
          </w:tcPr>
          <w:p w14:paraId="391C43D6"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-6.7</w:t>
            </w:r>
          </w:p>
        </w:tc>
      </w:tr>
      <w:tr w:rsidR="00534CF9" w:rsidRPr="00AA03ED" w14:paraId="6A20A41F" w14:textId="77777777" w:rsidTr="000B38BE">
        <w:trPr>
          <w:trHeight w:val="288"/>
          <w:jc w:val="center"/>
        </w:trPr>
        <w:tc>
          <w:tcPr>
            <w:tcW w:w="1885" w:type="dxa"/>
            <w:shd w:val="clear" w:color="auto" w:fill="auto"/>
            <w:noWrap/>
            <w:vAlign w:val="bottom"/>
            <w:hideMark/>
          </w:tcPr>
          <w:p w14:paraId="57D5B61A" w14:textId="77777777" w:rsidR="00534CF9" w:rsidRPr="00AA03ED" w:rsidRDefault="00534CF9" w:rsidP="000B38BE">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4</w:t>
            </w:r>
          </w:p>
        </w:tc>
        <w:tc>
          <w:tcPr>
            <w:tcW w:w="1080" w:type="dxa"/>
            <w:shd w:val="clear" w:color="auto" w:fill="auto"/>
            <w:noWrap/>
            <w:vAlign w:val="bottom"/>
            <w:hideMark/>
          </w:tcPr>
          <w:p w14:paraId="3CB7DAAA"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414,194</w:t>
            </w:r>
          </w:p>
        </w:tc>
        <w:tc>
          <w:tcPr>
            <w:tcW w:w="1620" w:type="dxa"/>
            <w:shd w:val="clear" w:color="auto" w:fill="auto"/>
            <w:noWrap/>
            <w:vAlign w:val="bottom"/>
            <w:hideMark/>
          </w:tcPr>
          <w:p w14:paraId="744C6FB7"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9.02</w:t>
            </w:r>
          </w:p>
        </w:tc>
        <w:tc>
          <w:tcPr>
            <w:tcW w:w="1350" w:type="dxa"/>
            <w:shd w:val="clear" w:color="auto" w:fill="auto"/>
            <w:noWrap/>
            <w:vAlign w:val="bottom"/>
            <w:hideMark/>
          </w:tcPr>
          <w:p w14:paraId="3366B605"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11.43</w:t>
            </w:r>
          </w:p>
        </w:tc>
        <w:tc>
          <w:tcPr>
            <w:tcW w:w="1150" w:type="dxa"/>
            <w:shd w:val="clear" w:color="auto" w:fill="auto"/>
            <w:noWrap/>
            <w:vAlign w:val="bottom"/>
            <w:hideMark/>
          </w:tcPr>
          <w:p w14:paraId="06619F15"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-2.4</w:t>
            </w:r>
          </w:p>
        </w:tc>
      </w:tr>
      <w:tr w:rsidR="00534CF9" w:rsidRPr="00AA03ED" w14:paraId="7FA0D0AD" w14:textId="77777777" w:rsidTr="000B38BE">
        <w:trPr>
          <w:trHeight w:val="288"/>
          <w:jc w:val="center"/>
        </w:trPr>
        <w:tc>
          <w:tcPr>
            <w:tcW w:w="1885" w:type="dxa"/>
            <w:shd w:val="clear" w:color="auto" w:fill="auto"/>
            <w:noWrap/>
            <w:vAlign w:val="bottom"/>
            <w:hideMark/>
          </w:tcPr>
          <w:p w14:paraId="01451BA6" w14:textId="77777777" w:rsidR="00534CF9" w:rsidRPr="00AA03ED" w:rsidRDefault="00534CF9" w:rsidP="000B38BE">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5</w:t>
            </w:r>
          </w:p>
        </w:tc>
        <w:tc>
          <w:tcPr>
            <w:tcW w:w="1080" w:type="dxa"/>
            <w:shd w:val="clear" w:color="auto" w:fill="auto"/>
            <w:noWrap/>
            <w:vAlign w:val="bottom"/>
            <w:hideMark/>
          </w:tcPr>
          <w:p w14:paraId="53424F60"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386,081</w:t>
            </w:r>
          </w:p>
        </w:tc>
        <w:tc>
          <w:tcPr>
            <w:tcW w:w="1620" w:type="dxa"/>
            <w:shd w:val="clear" w:color="auto" w:fill="auto"/>
            <w:noWrap/>
            <w:vAlign w:val="bottom"/>
            <w:hideMark/>
          </w:tcPr>
          <w:p w14:paraId="31EBE5D3"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11.15</w:t>
            </w:r>
          </w:p>
        </w:tc>
        <w:tc>
          <w:tcPr>
            <w:tcW w:w="1350" w:type="dxa"/>
            <w:shd w:val="clear" w:color="auto" w:fill="auto"/>
            <w:noWrap/>
            <w:vAlign w:val="bottom"/>
            <w:hideMark/>
          </w:tcPr>
          <w:p w14:paraId="41DCADB0"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8.37</w:t>
            </w:r>
          </w:p>
        </w:tc>
        <w:tc>
          <w:tcPr>
            <w:tcW w:w="1150" w:type="dxa"/>
            <w:shd w:val="clear" w:color="auto" w:fill="auto"/>
            <w:noWrap/>
            <w:vAlign w:val="bottom"/>
            <w:hideMark/>
          </w:tcPr>
          <w:p w14:paraId="4A001134"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2.8</w:t>
            </w:r>
          </w:p>
        </w:tc>
      </w:tr>
      <w:tr w:rsidR="00534CF9" w:rsidRPr="00AA03ED" w14:paraId="0BF6D138" w14:textId="77777777" w:rsidTr="000B38BE">
        <w:trPr>
          <w:trHeight w:val="288"/>
          <w:jc w:val="center"/>
        </w:trPr>
        <w:tc>
          <w:tcPr>
            <w:tcW w:w="1885" w:type="dxa"/>
            <w:shd w:val="clear" w:color="auto" w:fill="auto"/>
            <w:noWrap/>
            <w:vAlign w:val="bottom"/>
            <w:hideMark/>
          </w:tcPr>
          <w:p w14:paraId="5772866A" w14:textId="77777777" w:rsidR="00534CF9" w:rsidRPr="00AA03ED" w:rsidRDefault="00534CF9" w:rsidP="000B38BE">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6</w:t>
            </w:r>
          </w:p>
        </w:tc>
        <w:tc>
          <w:tcPr>
            <w:tcW w:w="1080" w:type="dxa"/>
            <w:shd w:val="clear" w:color="auto" w:fill="auto"/>
            <w:noWrap/>
            <w:vAlign w:val="bottom"/>
            <w:hideMark/>
          </w:tcPr>
          <w:p w14:paraId="5F9B7D3A"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377,779</w:t>
            </w:r>
          </w:p>
        </w:tc>
        <w:tc>
          <w:tcPr>
            <w:tcW w:w="1620" w:type="dxa"/>
            <w:shd w:val="clear" w:color="auto" w:fill="auto"/>
            <w:noWrap/>
            <w:vAlign w:val="bottom"/>
            <w:hideMark/>
          </w:tcPr>
          <w:p w14:paraId="6B200969"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9.95</w:t>
            </w:r>
          </w:p>
        </w:tc>
        <w:tc>
          <w:tcPr>
            <w:tcW w:w="1350" w:type="dxa"/>
            <w:shd w:val="clear" w:color="auto" w:fill="auto"/>
            <w:noWrap/>
            <w:vAlign w:val="bottom"/>
            <w:hideMark/>
          </w:tcPr>
          <w:p w14:paraId="4715FE33"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7.46</w:t>
            </w:r>
          </w:p>
        </w:tc>
        <w:tc>
          <w:tcPr>
            <w:tcW w:w="1150" w:type="dxa"/>
            <w:shd w:val="clear" w:color="auto" w:fill="auto"/>
            <w:noWrap/>
            <w:vAlign w:val="bottom"/>
            <w:hideMark/>
          </w:tcPr>
          <w:p w14:paraId="31C5CA83"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2.5</w:t>
            </w:r>
          </w:p>
        </w:tc>
      </w:tr>
      <w:tr w:rsidR="00534CF9" w:rsidRPr="00AA03ED" w14:paraId="3EC7AED0" w14:textId="77777777" w:rsidTr="000B38BE">
        <w:trPr>
          <w:trHeight w:val="288"/>
          <w:jc w:val="center"/>
        </w:trPr>
        <w:tc>
          <w:tcPr>
            <w:tcW w:w="1885" w:type="dxa"/>
            <w:shd w:val="clear" w:color="auto" w:fill="auto"/>
            <w:noWrap/>
            <w:vAlign w:val="bottom"/>
            <w:hideMark/>
          </w:tcPr>
          <w:p w14:paraId="16C50BB7" w14:textId="77777777" w:rsidR="00534CF9" w:rsidRPr="00AA03ED" w:rsidRDefault="00534CF9" w:rsidP="000B38BE">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7</w:t>
            </w:r>
          </w:p>
        </w:tc>
        <w:tc>
          <w:tcPr>
            <w:tcW w:w="1080" w:type="dxa"/>
            <w:shd w:val="clear" w:color="auto" w:fill="auto"/>
            <w:noWrap/>
            <w:vAlign w:val="bottom"/>
            <w:hideMark/>
          </w:tcPr>
          <w:p w14:paraId="205F3211"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406,019</w:t>
            </w:r>
          </w:p>
        </w:tc>
        <w:tc>
          <w:tcPr>
            <w:tcW w:w="1620" w:type="dxa"/>
            <w:shd w:val="clear" w:color="auto" w:fill="auto"/>
            <w:noWrap/>
            <w:vAlign w:val="bottom"/>
            <w:hideMark/>
          </w:tcPr>
          <w:p w14:paraId="7F106DB2"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6.78</w:t>
            </w:r>
          </w:p>
        </w:tc>
        <w:tc>
          <w:tcPr>
            <w:tcW w:w="1350" w:type="dxa"/>
            <w:shd w:val="clear" w:color="auto" w:fill="auto"/>
            <w:noWrap/>
            <w:vAlign w:val="bottom"/>
            <w:hideMark/>
          </w:tcPr>
          <w:p w14:paraId="344D365B"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10.07</w:t>
            </w:r>
          </w:p>
        </w:tc>
        <w:tc>
          <w:tcPr>
            <w:tcW w:w="1150" w:type="dxa"/>
            <w:shd w:val="clear" w:color="auto" w:fill="auto"/>
            <w:noWrap/>
            <w:vAlign w:val="bottom"/>
            <w:hideMark/>
          </w:tcPr>
          <w:p w14:paraId="112B2218"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-3.3</w:t>
            </w:r>
          </w:p>
        </w:tc>
      </w:tr>
      <w:tr w:rsidR="00534CF9" w:rsidRPr="00AA03ED" w14:paraId="7EA734E3" w14:textId="77777777" w:rsidTr="000B38BE">
        <w:trPr>
          <w:trHeight w:val="288"/>
          <w:jc w:val="center"/>
        </w:trPr>
        <w:tc>
          <w:tcPr>
            <w:tcW w:w="1885" w:type="dxa"/>
            <w:shd w:val="clear" w:color="auto" w:fill="auto"/>
            <w:noWrap/>
            <w:vAlign w:val="bottom"/>
            <w:hideMark/>
          </w:tcPr>
          <w:p w14:paraId="0D8A2EF8" w14:textId="77777777" w:rsidR="00534CF9" w:rsidRPr="00AA03ED" w:rsidRDefault="00534CF9" w:rsidP="000B38BE">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8</w:t>
            </w:r>
          </w:p>
        </w:tc>
        <w:tc>
          <w:tcPr>
            <w:tcW w:w="1080" w:type="dxa"/>
            <w:shd w:val="clear" w:color="auto" w:fill="auto"/>
            <w:noWrap/>
            <w:vAlign w:val="bottom"/>
            <w:hideMark/>
          </w:tcPr>
          <w:p w14:paraId="09388590"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417,242</w:t>
            </w:r>
          </w:p>
        </w:tc>
        <w:tc>
          <w:tcPr>
            <w:tcW w:w="1620" w:type="dxa"/>
            <w:shd w:val="clear" w:color="auto" w:fill="auto"/>
            <w:noWrap/>
            <w:vAlign w:val="bottom"/>
            <w:hideMark/>
          </w:tcPr>
          <w:p w14:paraId="586891E5"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7.13</w:t>
            </w:r>
          </w:p>
        </w:tc>
        <w:tc>
          <w:tcPr>
            <w:tcW w:w="1350" w:type="dxa"/>
            <w:shd w:val="clear" w:color="auto" w:fill="auto"/>
            <w:noWrap/>
            <w:vAlign w:val="bottom"/>
            <w:hideMark/>
          </w:tcPr>
          <w:p w14:paraId="3EB1DAF4"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10.82</w:t>
            </w:r>
          </w:p>
        </w:tc>
        <w:tc>
          <w:tcPr>
            <w:tcW w:w="1150" w:type="dxa"/>
            <w:shd w:val="clear" w:color="auto" w:fill="auto"/>
            <w:noWrap/>
            <w:vAlign w:val="bottom"/>
            <w:hideMark/>
          </w:tcPr>
          <w:p w14:paraId="48299789"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-3.7</w:t>
            </w:r>
          </w:p>
        </w:tc>
      </w:tr>
      <w:tr w:rsidR="00534CF9" w:rsidRPr="00AA03ED" w14:paraId="3D068B25" w14:textId="77777777" w:rsidTr="000B38BE">
        <w:trPr>
          <w:trHeight w:val="288"/>
          <w:jc w:val="center"/>
        </w:trPr>
        <w:tc>
          <w:tcPr>
            <w:tcW w:w="1885" w:type="dxa"/>
            <w:shd w:val="clear" w:color="auto" w:fill="auto"/>
            <w:noWrap/>
            <w:vAlign w:val="bottom"/>
            <w:hideMark/>
          </w:tcPr>
          <w:p w14:paraId="6FA4EBA9" w14:textId="77777777" w:rsidR="00534CF9" w:rsidRPr="00AA03ED" w:rsidRDefault="00534CF9" w:rsidP="000B38BE">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9</w:t>
            </w:r>
          </w:p>
        </w:tc>
        <w:tc>
          <w:tcPr>
            <w:tcW w:w="1080" w:type="dxa"/>
            <w:shd w:val="clear" w:color="auto" w:fill="auto"/>
            <w:noWrap/>
            <w:vAlign w:val="bottom"/>
            <w:hideMark/>
          </w:tcPr>
          <w:p w14:paraId="24F1B4B2"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285,740</w:t>
            </w:r>
          </w:p>
        </w:tc>
        <w:tc>
          <w:tcPr>
            <w:tcW w:w="1620" w:type="dxa"/>
            <w:shd w:val="clear" w:color="auto" w:fill="auto"/>
            <w:noWrap/>
            <w:vAlign w:val="bottom"/>
            <w:hideMark/>
          </w:tcPr>
          <w:p w14:paraId="67ADE5B5"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11.58</w:t>
            </w:r>
          </w:p>
        </w:tc>
        <w:tc>
          <w:tcPr>
            <w:tcW w:w="1350" w:type="dxa"/>
            <w:shd w:val="clear" w:color="auto" w:fill="auto"/>
            <w:noWrap/>
            <w:vAlign w:val="bottom"/>
            <w:hideMark/>
          </w:tcPr>
          <w:p w14:paraId="155230D1"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15.81</w:t>
            </w:r>
          </w:p>
        </w:tc>
        <w:tc>
          <w:tcPr>
            <w:tcW w:w="1150" w:type="dxa"/>
            <w:shd w:val="clear" w:color="auto" w:fill="auto"/>
            <w:noWrap/>
            <w:vAlign w:val="bottom"/>
            <w:hideMark/>
          </w:tcPr>
          <w:p w14:paraId="0D277029"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-4.2</w:t>
            </w:r>
          </w:p>
        </w:tc>
      </w:tr>
      <w:tr w:rsidR="00534CF9" w:rsidRPr="00AA03ED" w14:paraId="479E4F3D" w14:textId="77777777" w:rsidTr="000B38BE">
        <w:trPr>
          <w:trHeight w:val="288"/>
          <w:jc w:val="center"/>
        </w:trPr>
        <w:tc>
          <w:tcPr>
            <w:tcW w:w="1885" w:type="dxa"/>
            <w:shd w:val="clear" w:color="auto" w:fill="auto"/>
            <w:noWrap/>
            <w:vAlign w:val="bottom"/>
            <w:hideMark/>
          </w:tcPr>
          <w:p w14:paraId="3F14D166" w14:textId="77777777" w:rsidR="00534CF9" w:rsidRPr="00AA03ED" w:rsidRDefault="00534CF9" w:rsidP="000B38BE">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10</w:t>
            </w:r>
          </w:p>
        </w:tc>
        <w:tc>
          <w:tcPr>
            <w:tcW w:w="1080" w:type="dxa"/>
            <w:shd w:val="clear" w:color="auto" w:fill="auto"/>
            <w:noWrap/>
            <w:vAlign w:val="bottom"/>
            <w:hideMark/>
          </w:tcPr>
          <w:p w14:paraId="1CB2106C"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338,408</w:t>
            </w:r>
          </w:p>
        </w:tc>
        <w:tc>
          <w:tcPr>
            <w:tcW w:w="1620" w:type="dxa"/>
            <w:shd w:val="clear" w:color="auto" w:fill="auto"/>
            <w:noWrap/>
            <w:vAlign w:val="bottom"/>
            <w:hideMark/>
          </w:tcPr>
          <w:p w14:paraId="762CB4F4"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6.83</w:t>
            </w:r>
          </w:p>
        </w:tc>
        <w:tc>
          <w:tcPr>
            <w:tcW w:w="1350" w:type="dxa"/>
            <w:shd w:val="clear" w:color="auto" w:fill="auto"/>
            <w:noWrap/>
            <w:vAlign w:val="bottom"/>
            <w:hideMark/>
          </w:tcPr>
          <w:p w14:paraId="2C26FDE9"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12.37</w:t>
            </w:r>
          </w:p>
        </w:tc>
        <w:tc>
          <w:tcPr>
            <w:tcW w:w="1150" w:type="dxa"/>
            <w:shd w:val="clear" w:color="auto" w:fill="auto"/>
            <w:noWrap/>
            <w:vAlign w:val="bottom"/>
            <w:hideMark/>
          </w:tcPr>
          <w:p w14:paraId="6EE7A47D"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-5.5</w:t>
            </w:r>
          </w:p>
        </w:tc>
      </w:tr>
      <w:tr w:rsidR="00534CF9" w:rsidRPr="00AA03ED" w14:paraId="6CEE239E" w14:textId="77777777" w:rsidTr="000B38BE">
        <w:trPr>
          <w:trHeight w:val="288"/>
          <w:jc w:val="center"/>
        </w:trPr>
        <w:tc>
          <w:tcPr>
            <w:tcW w:w="1885" w:type="dxa"/>
            <w:shd w:val="clear" w:color="auto" w:fill="auto"/>
            <w:noWrap/>
            <w:vAlign w:val="bottom"/>
            <w:hideMark/>
          </w:tcPr>
          <w:p w14:paraId="1F52AC81" w14:textId="77777777" w:rsidR="00534CF9" w:rsidRPr="00AA03ED" w:rsidRDefault="00534CF9" w:rsidP="000B38BE">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11</w:t>
            </w:r>
          </w:p>
        </w:tc>
        <w:tc>
          <w:tcPr>
            <w:tcW w:w="1080" w:type="dxa"/>
            <w:shd w:val="clear" w:color="auto" w:fill="auto"/>
            <w:noWrap/>
            <w:vAlign w:val="bottom"/>
            <w:hideMark/>
          </w:tcPr>
          <w:p w14:paraId="41B0A66E"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306,157</w:t>
            </w:r>
          </w:p>
        </w:tc>
        <w:tc>
          <w:tcPr>
            <w:tcW w:w="1620" w:type="dxa"/>
            <w:shd w:val="clear" w:color="auto" w:fill="auto"/>
            <w:noWrap/>
            <w:vAlign w:val="bottom"/>
            <w:hideMark/>
          </w:tcPr>
          <w:p w14:paraId="30EDB46F"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6.06</w:t>
            </w:r>
          </w:p>
        </w:tc>
        <w:tc>
          <w:tcPr>
            <w:tcW w:w="1350" w:type="dxa"/>
            <w:shd w:val="clear" w:color="auto" w:fill="auto"/>
            <w:noWrap/>
            <w:vAlign w:val="bottom"/>
            <w:hideMark/>
          </w:tcPr>
          <w:p w14:paraId="2A2FE470"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9.33</w:t>
            </w:r>
          </w:p>
        </w:tc>
        <w:tc>
          <w:tcPr>
            <w:tcW w:w="1150" w:type="dxa"/>
            <w:shd w:val="clear" w:color="auto" w:fill="auto"/>
            <w:noWrap/>
            <w:vAlign w:val="bottom"/>
            <w:hideMark/>
          </w:tcPr>
          <w:p w14:paraId="0A5B5590"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-3.3</w:t>
            </w:r>
          </w:p>
        </w:tc>
      </w:tr>
      <w:tr w:rsidR="00534CF9" w:rsidRPr="00AA03ED" w14:paraId="533430D5" w14:textId="77777777" w:rsidTr="000B38BE">
        <w:trPr>
          <w:trHeight w:val="288"/>
          <w:jc w:val="center"/>
        </w:trPr>
        <w:tc>
          <w:tcPr>
            <w:tcW w:w="1885" w:type="dxa"/>
            <w:shd w:val="clear" w:color="auto" w:fill="auto"/>
            <w:noWrap/>
            <w:vAlign w:val="bottom"/>
            <w:hideMark/>
          </w:tcPr>
          <w:p w14:paraId="06D947FB" w14:textId="77777777" w:rsidR="00534CF9" w:rsidRPr="00AA03ED" w:rsidRDefault="00534CF9" w:rsidP="000B38BE">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12</w:t>
            </w:r>
          </w:p>
        </w:tc>
        <w:tc>
          <w:tcPr>
            <w:tcW w:w="1080" w:type="dxa"/>
            <w:shd w:val="clear" w:color="auto" w:fill="auto"/>
            <w:noWrap/>
            <w:vAlign w:val="bottom"/>
            <w:hideMark/>
          </w:tcPr>
          <w:p w14:paraId="58AB2B18"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383,724</w:t>
            </w:r>
          </w:p>
        </w:tc>
        <w:tc>
          <w:tcPr>
            <w:tcW w:w="1620" w:type="dxa"/>
            <w:shd w:val="clear" w:color="auto" w:fill="auto"/>
            <w:noWrap/>
            <w:vAlign w:val="bottom"/>
            <w:hideMark/>
          </w:tcPr>
          <w:p w14:paraId="39A1196D"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4.21</w:t>
            </w:r>
          </w:p>
        </w:tc>
        <w:tc>
          <w:tcPr>
            <w:tcW w:w="1350" w:type="dxa"/>
            <w:shd w:val="clear" w:color="auto" w:fill="auto"/>
            <w:noWrap/>
            <w:vAlign w:val="bottom"/>
            <w:hideMark/>
          </w:tcPr>
          <w:p w14:paraId="74593F0A"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6.11</w:t>
            </w:r>
          </w:p>
        </w:tc>
        <w:tc>
          <w:tcPr>
            <w:tcW w:w="1150" w:type="dxa"/>
            <w:shd w:val="clear" w:color="auto" w:fill="auto"/>
            <w:noWrap/>
            <w:vAlign w:val="bottom"/>
            <w:hideMark/>
          </w:tcPr>
          <w:p w14:paraId="1ED457AC"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-1.9</w:t>
            </w:r>
          </w:p>
        </w:tc>
      </w:tr>
      <w:tr w:rsidR="00534CF9" w:rsidRPr="00AA03ED" w14:paraId="62E62DBA" w14:textId="77777777" w:rsidTr="000B38BE">
        <w:trPr>
          <w:trHeight w:val="288"/>
          <w:jc w:val="center"/>
        </w:trPr>
        <w:tc>
          <w:tcPr>
            <w:tcW w:w="1885" w:type="dxa"/>
            <w:shd w:val="clear" w:color="auto" w:fill="auto"/>
            <w:noWrap/>
            <w:vAlign w:val="bottom"/>
            <w:hideMark/>
          </w:tcPr>
          <w:p w14:paraId="144242EF" w14:textId="77777777" w:rsidR="00534CF9" w:rsidRPr="00AA03ED" w:rsidRDefault="00534CF9" w:rsidP="000B38BE">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13</w:t>
            </w:r>
          </w:p>
        </w:tc>
        <w:tc>
          <w:tcPr>
            <w:tcW w:w="1080" w:type="dxa"/>
            <w:shd w:val="clear" w:color="auto" w:fill="auto"/>
            <w:noWrap/>
            <w:vAlign w:val="bottom"/>
            <w:hideMark/>
          </w:tcPr>
          <w:p w14:paraId="4D0E7F59"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386,591</w:t>
            </w:r>
          </w:p>
        </w:tc>
        <w:tc>
          <w:tcPr>
            <w:tcW w:w="1620" w:type="dxa"/>
            <w:shd w:val="clear" w:color="auto" w:fill="auto"/>
            <w:noWrap/>
            <w:vAlign w:val="bottom"/>
            <w:hideMark/>
          </w:tcPr>
          <w:p w14:paraId="40385FD6"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4.31</w:t>
            </w:r>
          </w:p>
        </w:tc>
        <w:tc>
          <w:tcPr>
            <w:tcW w:w="1350" w:type="dxa"/>
            <w:shd w:val="clear" w:color="auto" w:fill="auto"/>
            <w:noWrap/>
            <w:vAlign w:val="bottom"/>
            <w:hideMark/>
          </w:tcPr>
          <w:p w14:paraId="4DC15ACD"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6.42</w:t>
            </w:r>
          </w:p>
        </w:tc>
        <w:tc>
          <w:tcPr>
            <w:tcW w:w="1150" w:type="dxa"/>
            <w:shd w:val="clear" w:color="auto" w:fill="auto"/>
            <w:noWrap/>
            <w:vAlign w:val="bottom"/>
            <w:hideMark/>
          </w:tcPr>
          <w:p w14:paraId="0DC53DF2"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-2.1</w:t>
            </w:r>
          </w:p>
        </w:tc>
      </w:tr>
      <w:tr w:rsidR="00534CF9" w:rsidRPr="00AA03ED" w14:paraId="66FF0D81" w14:textId="77777777" w:rsidTr="000B38BE">
        <w:trPr>
          <w:trHeight w:val="288"/>
          <w:jc w:val="center"/>
        </w:trPr>
        <w:tc>
          <w:tcPr>
            <w:tcW w:w="1885" w:type="dxa"/>
            <w:shd w:val="clear" w:color="auto" w:fill="auto"/>
            <w:noWrap/>
            <w:vAlign w:val="bottom"/>
            <w:hideMark/>
          </w:tcPr>
          <w:p w14:paraId="337516FB" w14:textId="77777777" w:rsidR="00534CF9" w:rsidRPr="00AA03ED" w:rsidRDefault="00534CF9" w:rsidP="000B38BE">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14</w:t>
            </w:r>
          </w:p>
        </w:tc>
        <w:tc>
          <w:tcPr>
            <w:tcW w:w="1080" w:type="dxa"/>
            <w:shd w:val="clear" w:color="auto" w:fill="auto"/>
            <w:noWrap/>
            <w:vAlign w:val="bottom"/>
            <w:hideMark/>
          </w:tcPr>
          <w:p w14:paraId="2DFF6FEE"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416,178</w:t>
            </w:r>
          </w:p>
        </w:tc>
        <w:tc>
          <w:tcPr>
            <w:tcW w:w="1620" w:type="dxa"/>
            <w:shd w:val="clear" w:color="auto" w:fill="auto"/>
            <w:noWrap/>
            <w:vAlign w:val="bottom"/>
            <w:hideMark/>
          </w:tcPr>
          <w:p w14:paraId="3B75C1A5"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9.40</w:t>
            </w:r>
          </w:p>
        </w:tc>
        <w:tc>
          <w:tcPr>
            <w:tcW w:w="1350" w:type="dxa"/>
            <w:shd w:val="clear" w:color="auto" w:fill="auto"/>
            <w:noWrap/>
            <w:vAlign w:val="bottom"/>
            <w:hideMark/>
          </w:tcPr>
          <w:p w14:paraId="2F92BC05"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10.43</w:t>
            </w:r>
          </w:p>
        </w:tc>
        <w:tc>
          <w:tcPr>
            <w:tcW w:w="1150" w:type="dxa"/>
            <w:shd w:val="clear" w:color="auto" w:fill="auto"/>
            <w:noWrap/>
            <w:vAlign w:val="bottom"/>
            <w:hideMark/>
          </w:tcPr>
          <w:p w14:paraId="2B43E6EE"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-1.0</w:t>
            </w:r>
          </w:p>
        </w:tc>
      </w:tr>
      <w:tr w:rsidR="00534CF9" w:rsidRPr="00AA03ED" w14:paraId="126E37C1" w14:textId="77777777" w:rsidTr="000B38BE">
        <w:trPr>
          <w:trHeight w:val="288"/>
          <w:jc w:val="center"/>
        </w:trPr>
        <w:tc>
          <w:tcPr>
            <w:tcW w:w="1885" w:type="dxa"/>
            <w:shd w:val="clear" w:color="auto" w:fill="auto"/>
            <w:noWrap/>
            <w:vAlign w:val="bottom"/>
            <w:hideMark/>
          </w:tcPr>
          <w:p w14:paraId="61B5EDEB" w14:textId="77777777" w:rsidR="00534CF9" w:rsidRPr="00AA03ED" w:rsidRDefault="00534CF9" w:rsidP="000B38BE">
            <w:pPr>
              <w:spacing w:line="240" w:lineRule="auto"/>
              <w:ind w:firstLine="0"/>
              <w:jc w:val="center"/>
              <w:rPr>
                <w:rFonts w:ascii="Times New Roman" w:eastAsia="Times New Roman" w:hAnsi="Times New Roman" w:cs="Times New Roman"/>
                <w:color w:val="000000"/>
                <w:sz w:val="22"/>
                <w:szCs w:val="22"/>
                <w:lang w:eastAsia="en-US"/>
              </w:rPr>
            </w:pPr>
            <w:r w:rsidRPr="00813656">
              <w:rPr>
                <w:rFonts w:ascii="Calibri" w:eastAsia="Times New Roman" w:hAnsi="Calibri" w:cs="Calibri"/>
                <w:color w:val="000000"/>
                <w:sz w:val="22"/>
                <w:szCs w:val="22"/>
                <w:lang w:eastAsia="en-US"/>
              </w:rPr>
              <w:t>Model 15</w:t>
            </w:r>
          </w:p>
        </w:tc>
        <w:tc>
          <w:tcPr>
            <w:tcW w:w="1080" w:type="dxa"/>
            <w:shd w:val="clear" w:color="auto" w:fill="auto"/>
            <w:noWrap/>
            <w:vAlign w:val="bottom"/>
            <w:hideMark/>
          </w:tcPr>
          <w:p w14:paraId="1B754B55"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394,900</w:t>
            </w:r>
          </w:p>
        </w:tc>
        <w:tc>
          <w:tcPr>
            <w:tcW w:w="1620" w:type="dxa"/>
            <w:shd w:val="clear" w:color="auto" w:fill="auto"/>
            <w:noWrap/>
            <w:vAlign w:val="bottom"/>
            <w:hideMark/>
          </w:tcPr>
          <w:p w14:paraId="7DD7B220"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8.87</w:t>
            </w:r>
          </w:p>
        </w:tc>
        <w:tc>
          <w:tcPr>
            <w:tcW w:w="1350" w:type="dxa"/>
            <w:shd w:val="clear" w:color="auto" w:fill="auto"/>
            <w:noWrap/>
            <w:vAlign w:val="bottom"/>
            <w:hideMark/>
          </w:tcPr>
          <w:p w14:paraId="56D962F2"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10.48</w:t>
            </w:r>
          </w:p>
        </w:tc>
        <w:tc>
          <w:tcPr>
            <w:tcW w:w="1150" w:type="dxa"/>
            <w:shd w:val="clear" w:color="auto" w:fill="auto"/>
            <w:noWrap/>
            <w:vAlign w:val="bottom"/>
            <w:hideMark/>
          </w:tcPr>
          <w:p w14:paraId="6CB5B85A" w14:textId="77777777" w:rsidR="00534CF9" w:rsidRPr="009F1E1F" w:rsidRDefault="00534CF9" w:rsidP="000B38BE">
            <w:pPr>
              <w:spacing w:line="240" w:lineRule="auto"/>
              <w:ind w:firstLine="0"/>
              <w:jc w:val="center"/>
              <w:rPr>
                <w:rFonts w:ascii="Times New Roman" w:eastAsia="Times New Roman" w:hAnsi="Times New Roman" w:cs="Times New Roman"/>
                <w:color w:val="auto"/>
                <w:sz w:val="22"/>
                <w:szCs w:val="22"/>
                <w:lang w:eastAsia="en-US"/>
              </w:rPr>
            </w:pPr>
            <w:r w:rsidRPr="00813656">
              <w:rPr>
                <w:rFonts w:ascii="Calibri" w:eastAsia="Times New Roman" w:hAnsi="Calibri" w:cs="Calibri"/>
                <w:color w:val="000000"/>
                <w:sz w:val="22"/>
                <w:szCs w:val="22"/>
                <w:lang w:eastAsia="en-US"/>
              </w:rPr>
              <w:t>-1.6</w:t>
            </w:r>
          </w:p>
        </w:tc>
      </w:tr>
      <w:tr w:rsidR="00534CF9" w:rsidRPr="00AA03ED" w14:paraId="0B56BC70" w14:textId="77777777" w:rsidTr="000B38BE">
        <w:trPr>
          <w:trHeight w:val="288"/>
          <w:jc w:val="center"/>
        </w:trPr>
        <w:tc>
          <w:tcPr>
            <w:tcW w:w="1885" w:type="dxa"/>
            <w:shd w:val="clear" w:color="auto" w:fill="auto"/>
            <w:noWrap/>
            <w:vAlign w:val="bottom"/>
          </w:tcPr>
          <w:p w14:paraId="295D9FB0" w14:textId="77777777" w:rsidR="00534CF9" w:rsidRPr="00813656" w:rsidRDefault="00534CF9" w:rsidP="000B38BE">
            <w:pPr>
              <w:spacing w:line="240" w:lineRule="auto"/>
              <w:ind w:firstLine="0"/>
              <w:jc w:val="center"/>
              <w:rPr>
                <w:rFonts w:ascii="Calibri" w:eastAsia="Times New Roman" w:hAnsi="Calibri" w:cs="Calibri"/>
                <w:color w:val="000000"/>
                <w:sz w:val="22"/>
                <w:szCs w:val="22"/>
                <w:lang w:eastAsia="en-US"/>
              </w:rPr>
            </w:pPr>
          </w:p>
        </w:tc>
        <w:tc>
          <w:tcPr>
            <w:tcW w:w="1080" w:type="dxa"/>
            <w:shd w:val="clear" w:color="auto" w:fill="auto"/>
            <w:noWrap/>
            <w:vAlign w:val="bottom"/>
          </w:tcPr>
          <w:p w14:paraId="07C3DBBD" w14:textId="77777777" w:rsidR="00534CF9" w:rsidRPr="00813656" w:rsidRDefault="00534CF9" w:rsidP="000B38BE">
            <w:pPr>
              <w:spacing w:line="240" w:lineRule="auto"/>
              <w:ind w:firstLine="0"/>
              <w:jc w:val="center"/>
              <w:rPr>
                <w:rFonts w:ascii="Calibri" w:eastAsia="Times New Roman" w:hAnsi="Calibri" w:cs="Calibri"/>
                <w:color w:val="000000"/>
                <w:sz w:val="22"/>
                <w:szCs w:val="22"/>
                <w:lang w:eastAsia="en-US"/>
              </w:rPr>
            </w:pPr>
          </w:p>
        </w:tc>
        <w:tc>
          <w:tcPr>
            <w:tcW w:w="1620" w:type="dxa"/>
            <w:shd w:val="clear" w:color="auto" w:fill="auto"/>
            <w:noWrap/>
            <w:vAlign w:val="bottom"/>
          </w:tcPr>
          <w:p w14:paraId="7FD188FE" w14:textId="77777777" w:rsidR="00534CF9" w:rsidRPr="00813656" w:rsidRDefault="00534CF9" w:rsidP="000B38BE">
            <w:pPr>
              <w:spacing w:line="240" w:lineRule="auto"/>
              <w:ind w:firstLine="0"/>
              <w:jc w:val="center"/>
              <w:rPr>
                <w:rFonts w:ascii="Calibri" w:eastAsia="Times New Roman" w:hAnsi="Calibri" w:cs="Calibri"/>
                <w:color w:val="000000"/>
                <w:sz w:val="22"/>
                <w:szCs w:val="22"/>
                <w:lang w:eastAsia="en-US"/>
              </w:rPr>
            </w:pPr>
          </w:p>
        </w:tc>
        <w:tc>
          <w:tcPr>
            <w:tcW w:w="1350" w:type="dxa"/>
            <w:shd w:val="clear" w:color="auto" w:fill="auto"/>
            <w:noWrap/>
            <w:vAlign w:val="bottom"/>
          </w:tcPr>
          <w:p w14:paraId="24818657" w14:textId="77777777" w:rsidR="00534CF9" w:rsidRPr="00813656" w:rsidRDefault="00534CF9" w:rsidP="000B38BE">
            <w:pPr>
              <w:spacing w:line="240" w:lineRule="auto"/>
              <w:ind w:firstLine="0"/>
              <w:jc w:val="center"/>
              <w:rPr>
                <w:rFonts w:ascii="Calibri" w:eastAsia="Times New Roman" w:hAnsi="Calibri" w:cs="Calibri"/>
                <w:color w:val="000000"/>
                <w:sz w:val="22"/>
                <w:szCs w:val="22"/>
                <w:lang w:eastAsia="en-US"/>
              </w:rPr>
            </w:pPr>
          </w:p>
        </w:tc>
        <w:tc>
          <w:tcPr>
            <w:tcW w:w="1150" w:type="dxa"/>
            <w:shd w:val="clear" w:color="auto" w:fill="auto"/>
            <w:noWrap/>
            <w:vAlign w:val="bottom"/>
          </w:tcPr>
          <w:p w14:paraId="180B7A12" w14:textId="77777777" w:rsidR="00534CF9" w:rsidRPr="00813656" w:rsidRDefault="00534CF9" w:rsidP="000B38BE">
            <w:pPr>
              <w:spacing w:line="240" w:lineRule="auto"/>
              <w:ind w:firstLine="0"/>
              <w:jc w:val="center"/>
              <w:rPr>
                <w:rFonts w:ascii="Calibri" w:eastAsia="Times New Roman" w:hAnsi="Calibri" w:cs="Calibri"/>
                <w:color w:val="000000"/>
                <w:sz w:val="22"/>
                <w:szCs w:val="22"/>
                <w:lang w:eastAsia="en-US"/>
              </w:rPr>
            </w:pPr>
          </w:p>
        </w:tc>
      </w:tr>
      <w:tr w:rsidR="00534CF9" w:rsidRPr="00AA03ED" w14:paraId="64B0497D" w14:textId="77777777" w:rsidTr="000B38BE">
        <w:trPr>
          <w:trHeight w:val="288"/>
          <w:jc w:val="center"/>
        </w:trPr>
        <w:tc>
          <w:tcPr>
            <w:tcW w:w="1885" w:type="dxa"/>
            <w:shd w:val="clear" w:color="auto" w:fill="auto"/>
            <w:noWrap/>
            <w:vAlign w:val="bottom"/>
          </w:tcPr>
          <w:p w14:paraId="1987DB7F" w14:textId="77777777" w:rsidR="00534CF9" w:rsidRPr="00813656" w:rsidRDefault="00534CF9"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Total</w:t>
            </w:r>
          </w:p>
        </w:tc>
        <w:tc>
          <w:tcPr>
            <w:tcW w:w="1080" w:type="dxa"/>
            <w:shd w:val="clear" w:color="auto" w:fill="auto"/>
            <w:noWrap/>
            <w:vAlign w:val="bottom"/>
          </w:tcPr>
          <w:p w14:paraId="0BFC6391" w14:textId="77777777" w:rsidR="00534CF9" w:rsidRPr="00813656" w:rsidRDefault="00534CF9"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5,357,104</w:t>
            </w:r>
          </w:p>
        </w:tc>
        <w:tc>
          <w:tcPr>
            <w:tcW w:w="1620" w:type="dxa"/>
            <w:shd w:val="clear" w:color="auto" w:fill="auto"/>
            <w:noWrap/>
            <w:vAlign w:val="bottom"/>
          </w:tcPr>
          <w:p w14:paraId="6C846FA4" w14:textId="77777777" w:rsidR="00534CF9" w:rsidRPr="00813656" w:rsidRDefault="00534CF9"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7.70</w:t>
            </w:r>
          </w:p>
        </w:tc>
        <w:tc>
          <w:tcPr>
            <w:tcW w:w="1350" w:type="dxa"/>
            <w:shd w:val="clear" w:color="auto" w:fill="auto"/>
            <w:noWrap/>
            <w:vAlign w:val="bottom"/>
          </w:tcPr>
          <w:p w14:paraId="2FBBC8BC" w14:textId="77777777" w:rsidR="00534CF9" w:rsidRPr="00813656" w:rsidRDefault="00534CF9" w:rsidP="000B38BE">
            <w:pPr>
              <w:spacing w:line="240" w:lineRule="auto"/>
              <w:ind w:firstLine="0"/>
              <w:jc w:val="center"/>
              <w:rPr>
                <w:rFonts w:ascii="Calibri" w:eastAsia="Times New Roman" w:hAnsi="Calibri" w:cs="Calibri"/>
                <w:color w:val="000000"/>
                <w:sz w:val="22"/>
                <w:szCs w:val="22"/>
                <w:lang w:eastAsia="en-US"/>
              </w:rPr>
            </w:pPr>
            <w:r w:rsidRPr="00813656">
              <w:rPr>
                <w:rFonts w:ascii="Calibri" w:eastAsia="Times New Roman" w:hAnsi="Calibri" w:cs="Calibri"/>
                <w:color w:val="000000"/>
                <w:sz w:val="22"/>
                <w:szCs w:val="22"/>
                <w:lang w:eastAsia="en-US"/>
              </w:rPr>
              <w:t>9.90</w:t>
            </w:r>
          </w:p>
        </w:tc>
        <w:tc>
          <w:tcPr>
            <w:tcW w:w="1150" w:type="dxa"/>
            <w:shd w:val="clear" w:color="auto" w:fill="auto"/>
            <w:noWrap/>
            <w:vAlign w:val="bottom"/>
          </w:tcPr>
          <w:p w14:paraId="5210AC56" w14:textId="77777777" w:rsidR="00534CF9" w:rsidRPr="00813656" w:rsidRDefault="00534CF9" w:rsidP="000B38BE">
            <w:pPr>
              <w:spacing w:line="240" w:lineRule="auto"/>
              <w:ind w:firstLine="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-2.2</w:t>
            </w:r>
          </w:p>
        </w:tc>
      </w:tr>
    </w:tbl>
    <w:p w14:paraId="3DDAEF49" w14:textId="074A446C" w:rsidR="00DA3875" w:rsidRDefault="00DA3875" w:rsidP="00534CF9">
      <w:pPr>
        <w:pStyle w:val="NoSpacing"/>
        <w:keepNext/>
        <w:spacing w:after="240" w:line="240" w:lineRule="auto"/>
        <w:rPr>
          <w:rFonts w:ascii="Times New Roman" w:hAnsi="Times New Roman" w:cs="Times New Roman"/>
          <w:b/>
        </w:rPr>
      </w:pPr>
    </w:p>
    <w:p w14:paraId="472F8A59" w14:textId="77777777" w:rsidR="00DA3875" w:rsidRDefault="00DA3875">
      <w:pPr>
        <w:rPr>
          <w:rFonts w:ascii="Times New Roman" w:hAnsi="Times New Roman" w:cs="Times New Roman"/>
          <w:b/>
        </w:rPr>
      </w:pPr>
      <w:r>
        <w:rPr>
          <w:rFonts w:ascii="Times New Roman" w:hAnsi="Times New Roman" w:cs="Times New Roman"/>
          <w:b/>
        </w:rPr>
        <w:br w:type="page"/>
      </w:r>
    </w:p>
    <w:p w14:paraId="12B00F5E" w14:textId="77777777" w:rsidR="00534CF9" w:rsidRDefault="00534CF9" w:rsidP="00534CF9">
      <w:pPr>
        <w:pStyle w:val="NoSpacing"/>
        <w:keepNext/>
        <w:spacing w:after="240" w:line="240" w:lineRule="auto"/>
        <w:rPr>
          <w:rFonts w:ascii="Times New Roman" w:hAnsi="Times New Roman" w:cs="Times New Roman"/>
          <w:b/>
        </w:rPr>
      </w:pPr>
    </w:p>
    <w:p w14:paraId="4B7ECD4C" w14:textId="77777777" w:rsidR="001615AB" w:rsidRPr="00007EE7" w:rsidRDefault="001615AB" w:rsidP="001615AB">
      <w:pPr>
        <w:pStyle w:val="TableFigure"/>
        <w:spacing w:line="240" w:lineRule="auto"/>
        <w:rPr>
          <w:rFonts w:asciiTheme="majorHAnsi" w:hAnsiTheme="majorHAnsi" w:cstheme="majorHAnsi"/>
        </w:rPr>
      </w:pPr>
      <w:r>
        <w:rPr>
          <w:rFonts w:asciiTheme="majorHAnsi" w:hAnsiTheme="majorHAnsi" w:cstheme="majorHAnsi"/>
          <w:b/>
        </w:rPr>
        <w:t>Exhibit</w:t>
      </w:r>
      <w:r w:rsidRPr="006F5E8B">
        <w:rPr>
          <w:rFonts w:asciiTheme="majorHAnsi" w:hAnsiTheme="majorHAnsi" w:cstheme="majorHAnsi"/>
          <w:b/>
        </w:rPr>
        <w:t xml:space="preserve"> </w:t>
      </w:r>
      <w:r>
        <w:rPr>
          <w:rFonts w:asciiTheme="majorHAnsi" w:hAnsiTheme="majorHAnsi" w:cstheme="majorHAnsi"/>
          <w:b/>
        </w:rPr>
        <w:t>5</w:t>
      </w:r>
      <w:r w:rsidRPr="006F5E8B">
        <w:rPr>
          <w:rFonts w:asciiTheme="majorHAnsi" w:hAnsiTheme="majorHAnsi" w:cstheme="majorHAnsi"/>
          <w:b/>
        </w:rPr>
        <w:t>:</w:t>
      </w:r>
      <w:r w:rsidRPr="006F5E8B">
        <w:rPr>
          <w:rFonts w:asciiTheme="majorHAnsi" w:hAnsiTheme="majorHAnsi" w:cstheme="majorHAnsi"/>
        </w:rPr>
        <w:t xml:space="preserve"> </w:t>
      </w:r>
      <w:r>
        <w:rPr>
          <w:rFonts w:asciiTheme="majorHAnsi" w:hAnsiTheme="majorHAnsi" w:cstheme="majorHAnsi"/>
        </w:rPr>
        <w:t xml:space="preserve">Expanded AVM-by-FSD analysis results, including standard deviations for individual AVM Performance Metrics across the 367 AVM/FSD combinations, together with the normalized AVM-ES weights (percentages) for </w:t>
      </w:r>
      <w:r>
        <w:rPr>
          <w:rFonts w:cstheme="minorHAnsi"/>
        </w:rPr>
        <w:t xml:space="preserve">455,563 </w:t>
      </w:r>
      <w:r>
        <w:rPr>
          <w:rFonts w:asciiTheme="majorHAnsi" w:hAnsiTheme="majorHAnsi" w:cstheme="majorHAnsi"/>
        </w:rPr>
        <w:t xml:space="preserve">property sales.  </w:t>
      </w:r>
    </w:p>
    <w:p w14:paraId="5A96C402" w14:textId="77777777" w:rsidR="001615AB" w:rsidRPr="006F5E8B" w:rsidRDefault="001615AB" w:rsidP="001615AB">
      <w:pPr>
        <w:pStyle w:val="TableFigure"/>
        <w:spacing w:line="240" w:lineRule="auto"/>
        <w:rPr>
          <w:rFonts w:asciiTheme="majorHAnsi" w:eastAsia="Times New Roman" w:hAnsiTheme="majorHAnsi" w:cstheme="majorHAnsi"/>
          <w:color w:val="auto"/>
          <w:lang w:eastAsia="en-US"/>
        </w:rPr>
      </w:pPr>
    </w:p>
    <w:tbl>
      <w:tblPr>
        <w:tblW w:w="7835" w:type="dxa"/>
        <w:tblInd w:w="625" w:type="dxa"/>
        <w:tblLook w:val="04A0" w:firstRow="1" w:lastRow="0" w:firstColumn="1" w:lastColumn="0" w:noHBand="0" w:noVBand="1"/>
      </w:tblPr>
      <w:tblGrid>
        <w:gridCol w:w="4595"/>
        <w:gridCol w:w="1620"/>
        <w:gridCol w:w="1620"/>
      </w:tblGrid>
      <w:tr w:rsidR="001615AB" w:rsidRPr="006F5E8B" w14:paraId="6C33256E" w14:textId="77777777" w:rsidTr="00631D84">
        <w:trPr>
          <w:trHeight w:val="300"/>
        </w:trPr>
        <w:tc>
          <w:tcPr>
            <w:tcW w:w="4595" w:type="dxa"/>
            <w:tcBorders>
              <w:top w:val="single" w:sz="4" w:space="0" w:color="4472C4"/>
              <w:left w:val="single" w:sz="4" w:space="0" w:color="auto"/>
              <w:bottom w:val="double" w:sz="6" w:space="0" w:color="4472C4"/>
              <w:right w:val="single" w:sz="4" w:space="0" w:color="auto"/>
            </w:tcBorders>
            <w:shd w:val="clear" w:color="auto" w:fill="auto"/>
            <w:noWrap/>
            <w:vAlign w:val="bottom"/>
            <w:hideMark/>
          </w:tcPr>
          <w:p w14:paraId="64EA740A" w14:textId="77777777" w:rsidR="001615AB" w:rsidRPr="006F5E8B" w:rsidRDefault="001615AB" w:rsidP="008B5496">
            <w:pPr>
              <w:spacing w:after="240" w:line="240" w:lineRule="auto"/>
              <w:ind w:firstLine="0"/>
              <w:jc w:val="center"/>
              <w:rPr>
                <w:rFonts w:asciiTheme="majorHAnsi" w:eastAsia="Times New Roman" w:hAnsiTheme="majorHAnsi" w:cstheme="majorHAnsi"/>
                <w:b/>
                <w:bCs/>
                <w:color w:val="000000"/>
                <w:sz w:val="22"/>
                <w:szCs w:val="22"/>
                <w:lang w:eastAsia="en-US"/>
              </w:rPr>
            </w:pPr>
            <w:r>
              <w:rPr>
                <w:rFonts w:asciiTheme="majorHAnsi" w:eastAsia="Times New Roman" w:hAnsiTheme="majorHAnsi" w:cstheme="majorHAnsi"/>
                <w:b/>
                <w:bCs/>
                <w:color w:val="000000"/>
                <w:sz w:val="22"/>
                <w:szCs w:val="22"/>
                <w:lang w:eastAsia="en-US"/>
              </w:rPr>
              <w:t>AVM Performance Metric</w:t>
            </w:r>
          </w:p>
        </w:tc>
        <w:tc>
          <w:tcPr>
            <w:tcW w:w="1620" w:type="dxa"/>
            <w:tcBorders>
              <w:top w:val="single" w:sz="4" w:space="0" w:color="4472C4"/>
              <w:left w:val="single" w:sz="4" w:space="0" w:color="auto"/>
              <w:bottom w:val="double" w:sz="6" w:space="0" w:color="4472C4"/>
              <w:right w:val="single" w:sz="4" w:space="0" w:color="auto"/>
            </w:tcBorders>
          </w:tcPr>
          <w:p w14:paraId="11729261" w14:textId="77777777" w:rsidR="001615AB" w:rsidRDefault="001615AB" w:rsidP="008B5496">
            <w:pPr>
              <w:spacing w:line="240" w:lineRule="auto"/>
              <w:ind w:firstLine="0"/>
              <w:jc w:val="center"/>
              <w:rPr>
                <w:rFonts w:asciiTheme="majorHAnsi" w:eastAsia="Times New Roman" w:hAnsiTheme="majorHAnsi" w:cstheme="majorHAnsi"/>
                <w:b/>
                <w:bCs/>
                <w:color w:val="000000"/>
                <w:sz w:val="22"/>
                <w:szCs w:val="22"/>
                <w:lang w:eastAsia="en-US"/>
              </w:rPr>
            </w:pPr>
          </w:p>
          <w:p w14:paraId="7366588B" w14:textId="77777777" w:rsidR="001615AB" w:rsidRDefault="001615AB" w:rsidP="008B5496">
            <w:pPr>
              <w:spacing w:line="240" w:lineRule="auto"/>
              <w:ind w:firstLine="0"/>
              <w:jc w:val="center"/>
              <w:rPr>
                <w:rFonts w:asciiTheme="majorHAnsi" w:eastAsia="Times New Roman" w:hAnsiTheme="majorHAnsi" w:cstheme="majorHAnsi"/>
                <w:b/>
                <w:bCs/>
                <w:color w:val="000000"/>
                <w:sz w:val="22"/>
                <w:szCs w:val="22"/>
                <w:lang w:eastAsia="en-US"/>
              </w:rPr>
            </w:pPr>
            <w:r>
              <w:rPr>
                <w:rFonts w:asciiTheme="majorHAnsi" w:eastAsia="Times New Roman" w:hAnsiTheme="majorHAnsi" w:cstheme="majorHAnsi"/>
                <w:b/>
                <w:bCs/>
                <w:color w:val="000000"/>
                <w:sz w:val="22"/>
                <w:szCs w:val="22"/>
                <w:lang w:eastAsia="en-US"/>
              </w:rPr>
              <w:t xml:space="preserve">Standard </w:t>
            </w:r>
          </w:p>
          <w:p w14:paraId="385FCD60" w14:textId="77777777" w:rsidR="001615AB" w:rsidRDefault="001615AB" w:rsidP="008B5496">
            <w:pPr>
              <w:spacing w:line="240" w:lineRule="auto"/>
              <w:ind w:firstLine="0"/>
              <w:jc w:val="center"/>
              <w:rPr>
                <w:rFonts w:asciiTheme="majorHAnsi" w:eastAsia="Times New Roman" w:hAnsiTheme="majorHAnsi" w:cstheme="majorHAnsi"/>
                <w:b/>
                <w:bCs/>
                <w:color w:val="000000"/>
                <w:sz w:val="22"/>
                <w:szCs w:val="22"/>
                <w:lang w:eastAsia="en-US"/>
              </w:rPr>
            </w:pPr>
            <w:r>
              <w:rPr>
                <w:rFonts w:asciiTheme="majorHAnsi" w:eastAsia="Times New Roman" w:hAnsiTheme="majorHAnsi" w:cstheme="majorHAnsi"/>
                <w:b/>
                <w:bCs/>
                <w:color w:val="000000"/>
                <w:sz w:val="22"/>
                <w:szCs w:val="22"/>
                <w:lang w:eastAsia="en-US"/>
              </w:rPr>
              <w:t>Deviation</w:t>
            </w:r>
          </w:p>
        </w:tc>
        <w:tc>
          <w:tcPr>
            <w:tcW w:w="1620" w:type="dxa"/>
            <w:tcBorders>
              <w:top w:val="single" w:sz="4" w:space="0" w:color="4472C4"/>
              <w:left w:val="single" w:sz="4" w:space="0" w:color="auto"/>
              <w:bottom w:val="double" w:sz="6" w:space="0" w:color="4472C4"/>
              <w:right w:val="single" w:sz="4" w:space="0" w:color="auto"/>
            </w:tcBorders>
          </w:tcPr>
          <w:p w14:paraId="4E569F89" w14:textId="77777777" w:rsidR="001615AB" w:rsidRDefault="001615AB" w:rsidP="008B5496">
            <w:pPr>
              <w:spacing w:line="240" w:lineRule="auto"/>
              <w:ind w:firstLine="0"/>
              <w:jc w:val="center"/>
              <w:rPr>
                <w:rFonts w:asciiTheme="majorHAnsi" w:eastAsia="Times New Roman" w:hAnsiTheme="majorHAnsi" w:cstheme="majorHAnsi"/>
                <w:b/>
                <w:bCs/>
                <w:color w:val="000000"/>
                <w:sz w:val="22"/>
                <w:szCs w:val="22"/>
                <w:lang w:eastAsia="en-US"/>
              </w:rPr>
            </w:pPr>
            <w:r>
              <w:rPr>
                <w:rFonts w:asciiTheme="majorHAnsi" w:eastAsia="Times New Roman" w:hAnsiTheme="majorHAnsi" w:cstheme="majorHAnsi"/>
                <w:b/>
                <w:bCs/>
                <w:color w:val="000000"/>
                <w:sz w:val="22"/>
                <w:szCs w:val="22"/>
                <w:lang w:eastAsia="en-US"/>
              </w:rPr>
              <w:t>Normalized Percentage for AVM-ES</w:t>
            </w:r>
          </w:p>
        </w:tc>
      </w:tr>
      <w:tr w:rsidR="001615AB" w:rsidRPr="006F5E8B" w14:paraId="427FAC82" w14:textId="77777777" w:rsidTr="00631D84">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hideMark/>
          </w:tcPr>
          <w:p w14:paraId="012FE4ED" w14:textId="77777777" w:rsidR="001615AB" w:rsidRPr="006F5E8B" w:rsidRDefault="001615AB" w:rsidP="008B5496">
            <w:pPr>
              <w:spacing w:line="240" w:lineRule="auto"/>
              <w:ind w:firstLine="0"/>
              <w:rPr>
                <w:rFonts w:asciiTheme="majorHAnsi" w:eastAsia="Times New Roman" w:hAnsiTheme="majorHAnsi" w:cstheme="majorHAnsi"/>
                <w:color w:val="000000"/>
                <w:lang w:eastAsia="en-US"/>
              </w:rPr>
            </w:pPr>
            <w:r w:rsidRPr="006F5E8B">
              <w:rPr>
                <w:rFonts w:asciiTheme="majorHAnsi" w:eastAsia="Times New Roman" w:hAnsiTheme="majorHAnsi" w:cstheme="majorHAnsi"/>
                <w:color w:val="000000"/>
                <w:lang w:eastAsia="en-US"/>
              </w:rPr>
              <w:t>Mean Percentage Sales Error</w:t>
            </w:r>
          </w:p>
        </w:tc>
        <w:tc>
          <w:tcPr>
            <w:tcW w:w="1620" w:type="dxa"/>
            <w:tcBorders>
              <w:top w:val="nil"/>
              <w:left w:val="single" w:sz="4" w:space="0" w:color="3F3F3F"/>
              <w:bottom w:val="single" w:sz="4" w:space="0" w:color="3F3F3F"/>
              <w:right w:val="single" w:sz="4" w:space="0" w:color="3F3F3F"/>
            </w:tcBorders>
          </w:tcPr>
          <w:p w14:paraId="256E043B" w14:textId="77777777" w:rsidR="001615AB" w:rsidRPr="0051704D" w:rsidRDefault="001615AB" w:rsidP="008B5496">
            <w:pPr>
              <w:spacing w:line="240" w:lineRule="auto"/>
              <w:ind w:firstLine="0"/>
              <w:jc w:val="center"/>
            </w:pPr>
            <w:r w:rsidRPr="00297CA7">
              <w:t>0.081</w:t>
            </w:r>
          </w:p>
        </w:tc>
        <w:tc>
          <w:tcPr>
            <w:tcW w:w="1620" w:type="dxa"/>
            <w:tcBorders>
              <w:top w:val="nil"/>
              <w:left w:val="single" w:sz="4" w:space="0" w:color="3F3F3F"/>
              <w:bottom w:val="single" w:sz="4" w:space="0" w:color="3F3F3F"/>
              <w:right w:val="single" w:sz="4" w:space="0" w:color="3F3F3F"/>
            </w:tcBorders>
          </w:tcPr>
          <w:p w14:paraId="08A524C1" w14:textId="77777777" w:rsidR="001615AB" w:rsidRPr="006F5E8B" w:rsidRDefault="001615AB" w:rsidP="008B5496">
            <w:pPr>
              <w:spacing w:line="240" w:lineRule="auto"/>
              <w:ind w:firstLine="0"/>
              <w:jc w:val="center"/>
              <w:rPr>
                <w:rFonts w:asciiTheme="majorHAnsi" w:eastAsia="Times New Roman" w:hAnsiTheme="majorHAnsi" w:cstheme="majorHAnsi"/>
                <w:color w:val="auto"/>
                <w:sz w:val="22"/>
                <w:szCs w:val="22"/>
                <w:lang w:eastAsia="en-US"/>
              </w:rPr>
            </w:pPr>
            <w:r w:rsidRPr="0051704D">
              <w:t>3.7%</w:t>
            </w:r>
          </w:p>
        </w:tc>
      </w:tr>
      <w:tr w:rsidR="001615AB" w:rsidRPr="006F5E8B" w14:paraId="08B4F8AA" w14:textId="77777777" w:rsidTr="00631D84">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hideMark/>
          </w:tcPr>
          <w:p w14:paraId="3709D5C0" w14:textId="77777777" w:rsidR="001615AB" w:rsidRPr="006F5E8B" w:rsidRDefault="001615AB" w:rsidP="008B5496">
            <w:pPr>
              <w:spacing w:line="240" w:lineRule="auto"/>
              <w:ind w:firstLine="0"/>
              <w:rPr>
                <w:rFonts w:asciiTheme="majorHAnsi" w:eastAsia="Times New Roman" w:hAnsiTheme="majorHAnsi" w:cstheme="majorHAnsi"/>
                <w:color w:val="000000"/>
                <w:lang w:eastAsia="en-US"/>
              </w:rPr>
            </w:pPr>
            <w:r w:rsidRPr="006F5E8B">
              <w:rPr>
                <w:rFonts w:asciiTheme="majorHAnsi" w:eastAsia="Times New Roman" w:hAnsiTheme="majorHAnsi" w:cstheme="majorHAnsi"/>
                <w:color w:val="000000"/>
                <w:lang w:eastAsia="en-US"/>
              </w:rPr>
              <w:t>Median Percentage Sales Error</w:t>
            </w:r>
          </w:p>
        </w:tc>
        <w:tc>
          <w:tcPr>
            <w:tcW w:w="1620" w:type="dxa"/>
            <w:tcBorders>
              <w:top w:val="nil"/>
              <w:left w:val="single" w:sz="4" w:space="0" w:color="3F3F3F"/>
              <w:bottom w:val="single" w:sz="4" w:space="0" w:color="3F3F3F"/>
              <w:right w:val="single" w:sz="4" w:space="0" w:color="3F3F3F"/>
            </w:tcBorders>
          </w:tcPr>
          <w:p w14:paraId="0F59F2BB" w14:textId="77777777" w:rsidR="001615AB" w:rsidRPr="0051704D" w:rsidRDefault="001615AB" w:rsidP="008B5496">
            <w:pPr>
              <w:spacing w:line="240" w:lineRule="auto"/>
              <w:ind w:firstLine="0"/>
              <w:jc w:val="center"/>
            </w:pPr>
            <w:r w:rsidRPr="00297CA7">
              <w:t>0.080</w:t>
            </w:r>
          </w:p>
        </w:tc>
        <w:tc>
          <w:tcPr>
            <w:tcW w:w="1620" w:type="dxa"/>
            <w:tcBorders>
              <w:top w:val="nil"/>
              <w:left w:val="single" w:sz="4" w:space="0" w:color="3F3F3F"/>
              <w:bottom w:val="single" w:sz="4" w:space="0" w:color="3F3F3F"/>
              <w:right w:val="single" w:sz="4" w:space="0" w:color="3F3F3F"/>
            </w:tcBorders>
          </w:tcPr>
          <w:p w14:paraId="08C1AA75" w14:textId="77777777" w:rsidR="001615AB" w:rsidRPr="006F5E8B" w:rsidRDefault="001615AB" w:rsidP="008B5496">
            <w:pPr>
              <w:spacing w:line="240" w:lineRule="auto"/>
              <w:ind w:firstLine="0"/>
              <w:jc w:val="center"/>
              <w:rPr>
                <w:rFonts w:asciiTheme="majorHAnsi" w:eastAsia="Times New Roman" w:hAnsiTheme="majorHAnsi" w:cstheme="majorHAnsi"/>
                <w:color w:val="auto"/>
                <w:sz w:val="22"/>
                <w:szCs w:val="22"/>
                <w:lang w:eastAsia="en-US"/>
              </w:rPr>
            </w:pPr>
            <w:r w:rsidRPr="0051704D">
              <w:t>2.8%</w:t>
            </w:r>
          </w:p>
        </w:tc>
      </w:tr>
      <w:tr w:rsidR="001615AB" w:rsidRPr="006F5E8B" w14:paraId="7C8BEA6A" w14:textId="77777777" w:rsidTr="00631D84">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hideMark/>
          </w:tcPr>
          <w:p w14:paraId="21B4410A" w14:textId="77777777" w:rsidR="001615AB" w:rsidRPr="006F5E8B" w:rsidRDefault="001615AB" w:rsidP="008B5496">
            <w:pPr>
              <w:spacing w:line="240" w:lineRule="auto"/>
              <w:ind w:firstLine="0"/>
              <w:rPr>
                <w:rFonts w:asciiTheme="majorHAnsi" w:eastAsia="Times New Roman" w:hAnsiTheme="majorHAnsi" w:cstheme="majorHAnsi"/>
                <w:color w:val="000000"/>
                <w:lang w:eastAsia="en-US"/>
              </w:rPr>
            </w:pPr>
            <w:r w:rsidRPr="006F5E8B">
              <w:rPr>
                <w:rFonts w:asciiTheme="majorHAnsi" w:eastAsia="Times New Roman" w:hAnsiTheme="majorHAnsi" w:cstheme="majorHAnsi"/>
                <w:color w:val="000000"/>
                <w:lang w:eastAsia="en-US"/>
              </w:rPr>
              <w:t>Mean Absolute Percentage Error</w:t>
            </w:r>
          </w:p>
        </w:tc>
        <w:tc>
          <w:tcPr>
            <w:tcW w:w="1620" w:type="dxa"/>
            <w:tcBorders>
              <w:top w:val="nil"/>
              <w:left w:val="single" w:sz="4" w:space="0" w:color="3F3F3F"/>
              <w:bottom w:val="single" w:sz="4" w:space="0" w:color="3F3F3F"/>
              <w:right w:val="single" w:sz="4" w:space="0" w:color="3F3F3F"/>
            </w:tcBorders>
          </w:tcPr>
          <w:p w14:paraId="1B2FE7B7" w14:textId="77777777" w:rsidR="001615AB" w:rsidRPr="0051704D" w:rsidRDefault="001615AB" w:rsidP="008B5496">
            <w:pPr>
              <w:spacing w:line="240" w:lineRule="auto"/>
              <w:ind w:firstLine="0"/>
              <w:jc w:val="center"/>
            </w:pPr>
            <w:r w:rsidRPr="00297CA7">
              <w:t>0.103</w:t>
            </w:r>
          </w:p>
        </w:tc>
        <w:tc>
          <w:tcPr>
            <w:tcW w:w="1620" w:type="dxa"/>
            <w:tcBorders>
              <w:top w:val="nil"/>
              <w:left w:val="single" w:sz="4" w:space="0" w:color="3F3F3F"/>
              <w:bottom w:val="single" w:sz="4" w:space="0" w:color="3F3F3F"/>
              <w:right w:val="single" w:sz="4" w:space="0" w:color="3F3F3F"/>
            </w:tcBorders>
          </w:tcPr>
          <w:p w14:paraId="17D90B1C" w14:textId="77777777" w:rsidR="001615AB" w:rsidRPr="006F5E8B" w:rsidRDefault="001615AB" w:rsidP="008B5496">
            <w:pPr>
              <w:spacing w:line="240" w:lineRule="auto"/>
              <w:ind w:firstLine="0"/>
              <w:jc w:val="center"/>
              <w:rPr>
                <w:rFonts w:asciiTheme="majorHAnsi" w:eastAsia="Times New Roman" w:hAnsiTheme="majorHAnsi" w:cstheme="majorHAnsi"/>
                <w:color w:val="auto"/>
                <w:sz w:val="22"/>
                <w:szCs w:val="22"/>
                <w:lang w:eastAsia="en-US"/>
              </w:rPr>
            </w:pPr>
            <w:r w:rsidRPr="0051704D">
              <w:t>6.5%</w:t>
            </w:r>
          </w:p>
        </w:tc>
      </w:tr>
      <w:tr w:rsidR="001615AB" w:rsidRPr="006F5E8B" w14:paraId="7BEFF585" w14:textId="77777777" w:rsidTr="00631D84">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hideMark/>
          </w:tcPr>
          <w:p w14:paraId="1EACDC05" w14:textId="77777777" w:rsidR="001615AB" w:rsidRPr="006F5E8B" w:rsidRDefault="001615AB" w:rsidP="008B5496">
            <w:pPr>
              <w:spacing w:line="240" w:lineRule="auto"/>
              <w:ind w:firstLine="0"/>
              <w:rPr>
                <w:rFonts w:asciiTheme="majorHAnsi" w:eastAsia="Times New Roman" w:hAnsiTheme="majorHAnsi" w:cstheme="majorHAnsi"/>
                <w:color w:val="000000"/>
                <w:lang w:eastAsia="en-US"/>
              </w:rPr>
            </w:pPr>
            <w:r w:rsidRPr="006F5E8B">
              <w:rPr>
                <w:rFonts w:asciiTheme="majorHAnsi" w:eastAsia="Times New Roman" w:hAnsiTheme="majorHAnsi" w:cstheme="majorHAnsi"/>
                <w:color w:val="000000"/>
                <w:lang w:eastAsia="en-US"/>
              </w:rPr>
              <w:t>Median Absolute Percent Error (MAPE)</w:t>
            </w:r>
          </w:p>
        </w:tc>
        <w:tc>
          <w:tcPr>
            <w:tcW w:w="1620" w:type="dxa"/>
            <w:tcBorders>
              <w:top w:val="nil"/>
              <w:left w:val="single" w:sz="4" w:space="0" w:color="3F3F3F"/>
              <w:bottom w:val="single" w:sz="4" w:space="0" w:color="3F3F3F"/>
              <w:right w:val="single" w:sz="4" w:space="0" w:color="3F3F3F"/>
            </w:tcBorders>
          </w:tcPr>
          <w:p w14:paraId="68817ADD" w14:textId="77777777" w:rsidR="001615AB" w:rsidRPr="0051704D" w:rsidRDefault="001615AB" w:rsidP="008B5496">
            <w:pPr>
              <w:spacing w:line="240" w:lineRule="auto"/>
              <w:ind w:firstLine="0"/>
              <w:jc w:val="center"/>
            </w:pPr>
            <w:r w:rsidRPr="00297CA7">
              <w:t>0.090</w:t>
            </w:r>
          </w:p>
        </w:tc>
        <w:tc>
          <w:tcPr>
            <w:tcW w:w="1620" w:type="dxa"/>
            <w:tcBorders>
              <w:top w:val="nil"/>
              <w:left w:val="single" w:sz="4" w:space="0" w:color="3F3F3F"/>
              <w:bottom w:val="single" w:sz="4" w:space="0" w:color="3F3F3F"/>
              <w:right w:val="single" w:sz="4" w:space="0" w:color="3F3F3F"/>
            </w:tcBorders>
          </w:tcPr>
          <w:p w14:paraId="4A536253" w14:textId="77777777" w:rsidR="001615AB" w:rsidRPr="006F5E8B" w:rsidRDefault="001615AB" w:rsidP="008B5496">
            <w:pPr>
              <w:spacing w:line="240" w:lineRule="auto"/>
              <w:ind w:firstLine="0"/>
              <w:jc w:val="center"/>
              <w:rPr>
                <w:rFonts w:asciiTheme="majorHAnsi" w:eastAsia="Times New Roman" w:hAnsiTheme="majorHAnsi" w:cstheme="majorHAnsi"/>
                <w:color w:val="auto"/>
                <w:sz w:val="22"/>
                <w:szCs w:val="22"/>
                <w:lang w:eastAsia="en-US"/>
              </w:rPr>
            </w:pPr>
            <w:r w:rsidRPr="0051704D">
              <w:t>5.3%</w:t>
            </w:r>
          </w:p>
        </w:tc>
      </w:tr>
      <w:tr w:rsidR="001615AB" w:rsidRPr="006F5E8B" w14:paraId="31AD7F69" w14:textId="77777777" w:rsidTr="00631D84">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hideMark/>
          </w:tcPr>
          <w:p w14:paraId="3FAAFAAF" w14:textId="2FC2CBD4" w:rsidR="001615AB" w:rsidRPr="006F5E8B" w:rsidRDefault="00F51FA4" w:rsidP="008B5496">
            <w:pPr>
              <w:spacing w:line="240" w:lineRule="auto"/>
              <w:ind w:firstLine="0"/>
              <w:rPr>
                <w:rFonts w:asciiTheme="majorHAnsi" w:eastAsia="Times New Roman" w:hAnsiTheme="majorHAnsi" w:cstheme="majorHAnsi"/>
                <w:color w:val="000000"/>
                <w:lang w:eastAsia="en-US"/>
              </w:rPr>
            </w:pPr>
            <w:r>
              <w:rPr>
                <w:rFonts w:asciiTheme="majorHAnsi" w:eastAsia="Times New Roman" w:hAnsiTheme="majorHAnsi" w:cstheme="majorHAnsi"/>
                <w:color w:val="000000"/>
                <w:lang w:eastAsia="en-US"/>
              </w:rPr>
              <w:t>Observed Standard Deviation</w:t>
            </w:r>
          </w:p>
        </w:tc>
        <w:tc>
          <w:tcPr>
            <w:tcW w:w="1620" w:type="dxa"/>
            <w:tcBorders>
              <w:top w:val="nil"/>
              <w:left w:val="single" w:sz="4" w:space="0" w:color="3F3F3F"/>
              <w:bottom w:val="single" w:sz="4" w:space="0" w:color="auto"/>
              <w:right w:val="single" w:sz="4" w:space="0" w:color="3F3F3F"/>
            </w:tcBorders>
          </w:tcPr>
          <w:p w14:paraId="1D5FDFB9" w14:textId="77777777" w:rsidR="001615AB" w:rsidRPr="0051704D" w:rsidRDefault="001615AB" w:rsidP="008B5496">
            <w:pPr>
              <w:spacing w:line="240" w:lineRule="auto"/>
              <w:ind w:firstLine="0"/>
              <w:jc w:val="center"/>
            </w:pPr>
            <w:r w:rsidRPr="00297CA7">
              <w:t>0.121</w:t>
            </w:r>
          </w:p>
        </w:tc>
        <w:tc>
          <w:tcPr>
            <w:tcW w:w="1620" w:type="dxa"/>
            <w:tcBorders>
              <w:top w:val="nil"/>
              <w:left w:val="single" w:sz="4" w:space="0" w:color="3F3F3F"/>
              <w:bottom w:val="single" w:sz="4" w:space="0" w:color="auto"/>
              <w:right w:val="single" w:sz="4" w:space="0" w:color="3F3F3F"/>
            </w:tcBorders>
          </w:tcPr>
          <w:p w14:paraId="02166F03" w14:textId="77777777" w:rsidR="001615AB" w:rsidRPr="006F5E8B" w:rsidRDefault="001615AB" w:rsidP="008B5496">
            <w:pPr>
              <w:spacing w:line="240" w:lineRule="auto"/>
              <w:ind w:firstLine="0"/>
              <w:jc w:val="center"/>
              <w:rPr>
                <w:rFonts w:asciiTheme="majorHAnsi" w:eastAsia="Times New Roman" w:hAnsiTheme="majorHAnsi" w:cstheme="majorHAnsi"/>
                <w:color w:val="auto"/>
                <w:sz w:val="22"/>
                <w:szCs w:val="22"/>
                <w:lang w:eastAsia="en-US"/>
              </w:rPr>
            </w:pPr>
            <w:r w:rsidRPr="0051704D">
              <w:t>6.5%</w:t>
            </w:r>
          </w:p>
        </w:tc>
      </w:tr>
      <w:tr w:rsidR="001615AB" w:rsidRPr="006F5E8B" w14:paraId="50F0804B" w14:textId="77777777" w:rsidTr="00631D84">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tcPr>
          <w:p w14:paraId="67FDB743" w14:textId="77777777" w:rsidR="001615AB" w:rsidRPr="006F5E8B" w:rsidRDefault="001615AB" w:rsidP="008B5496">
            <w:pPr>
              <w:spacing w:line="240" w:lineRule="auto"/>
              <w:ind w:firstLine="0"/>
              <w:rPr>
                <w:rFonts w:asciiTheme="majorHAnsi" w:eastAsia="Times New Roman" w:hAnsiTheme="majorHAnsi" w:cstheme="majorHAnsi"/>
                <w:color w:val="000000"/>
                <w:lang w:eastAsia="en-US"/>
              </w:rPr>
            </w:pPr>
            <w:r>
              <w:rPr>
                <w:rFonts w:asciiTheme="majorHAnsi" w:eastAsia="Times New Roman" w:hAnsiTheme="majorHAnsi" w:cstheme="majorHAnsi"/>
                <w:color w:val="000000"/>
                <w:lang w:eastAsia="en-US"/>
              </w:rPr>
              <w:t>+/- 1 FSD</w:t>
            </w:r>
          </w:p>
        </w:tc>
        <w:tc>
          <w:tcPr>
            <w:tcW w:w="1620" w:type="dxa"/>
            <w:tcBorders>
              <w:top w:val="nil"/>
              <w:left w:val="single" w:sz="4" w:space="0" w:color="3F3F3F"/>
              <w:bottom w:val="single" w:sz="4" w:space="0" w:color="auto"/>
              <w:right w:val="single" w:sz="4" w:space="0" w:color="3F3F3F"/>
            </w:tcBorders>
          </w:tcPr>
          <w:p w14:paraId="0B6C6733" w14:textId="77777777" w:rsidR="001615AB" w:rsidRPr="0051704D" w:rsidRDefault="001615AB" w:rsidP="008B5496">
            <w:pPr>
              <w:spacing w:line="240" w:lineRule="auto"/>
              <w:ind w:firstLine="0"/>
              <w:jc w:val="center"/>
            </w:pPr>
            <w:r w:rsidRPr="00297CA7">
              <w:t>0.173</w:t>
            </w:r>
          </w:p>
        </w:tc>
        <w:tc>
          <w:tcPr>
            <w:tcW w:w="1620" w:type="dxa"/>
            <w:tcBorders>
              <w:top w:val="nil"/>
              <w:left w:val="single" w:sz="4" w:space="0" w:color="3F3F3F"/>
              <w:bottom w:val="single" w:sz="4" w:space="0" w:color="auto"/>
              <w:right w:val="single" w:sz="4" w:space="0" w:color="3F3F3F"/>
            </w:tcBorders>
          </w:tcPr>
          <w:p w14:paraId="58BFCB8B" w14:textId="77777777" w:rsidR="001615AB" w:rsidRPr="006F5E8B" w:rsidRDefault="001615AB" w:rsidP="008B5496">
            <w:pPr>
              <w:spacing w:line="240" w:lineRule="auto"/>
              <w:ind w:firstLine="0"/>
              <w:jc w:val="center"/>
              <w:rPr>
                <w:rFonts w:asciiTheme="majorHAnsi" w:eastAsia="Times New Roman" w:hAnsiTheme="majorHAnsi" w:cstheme="majorHAnsi"/>
                <w:color w:val="auto"/>
                <w:sz w:val="22"/>
                <w:szCs w:val="22"/>
                <w:lang w:eastAsia="en-US"/>
              </w:rPr>
            </w:pPr>
            <w:r w:rsidRPr="0051704D">
              <w:t>7.6%</w:t>
            </w:r>
          </w:p>
        </w:tc>
      </w:tr>
      <w:tr w:rsidR="001615AB" w:rsidRPr="006F5E8B" w14:paraId="63500443" w14:textId="77777777" w:rsidTr="00631D84">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hideMark/>
          </w:tcPr>
          <w:p w14:paraId="35768D32" w14:textId="77777777" w:rsidR="001615AB" w:rsidRPr="006F5E8B" w:rsidRDefault="001615AB" w:rsidP="008B5496">
            <w:pPr>
              <w:spacing w:line="240" w:lineRule="auto"/>
              <w:ind w:firstLine="0"/>
              <w:rPr>
                <w:rFonts w:asciiTheme="majorHAnsi" w:eastAsia="Times New Roman" w:hAnsiTheme="majorHAnsi" w:cstheme="majorHAnsi"/>
                <w:color w:val="000000"/>
                <w:lang w:eastAsia="en-US"/>
              </w:rPr>
            </w:pPr>
            <w:r w:rsidRPr="006F5E8B">
              <w:rPr>
                <w:rFonts w:asciiTheme="majorHAnsi" w:eastAsia="Times New Roman" w:hAnsiTheme="majorHAnsi" w:cstheme="majorHAnsi"/>
                <w:color w:val="000000"/>
                <w:lang w:eastAsia="en-US"/>
              </w:rPr>
              <w:t>Failure Rate at +/- 5% (FR5)</w:t>
            </w:r>
          </w:p>
        </w:tc>
        <w:tc>
          <w:tcPr>
            <w:tcW w:w="1620" w:type="dxa"/>
            <w:tcBorders>
              <w:top w:val="single" w:sz="4" w:space="0" w:color="auto"/>
              <w:left w:val="single" w:sz="4" w:space="0" w:color="3F3F3F"/>
              <w:bottom w:val="single" w:sz="4" w:space="0" w:color="3F3F3F"/>
              <w:right w:val="single" w:sz="4" w:space="0" w:color="3F3F3F"/>
            </w:tcBorders>
          </w:tcPr>
          <w:p w14:paraId="201389BD" w14:textId="77777777" w:rsidR="001615AB" w:rsidRPr="0051704D" w:rsidRDefault="001615AB" w:rsidP="008B5496">
            <w:pPr>
              <w:spacing w:line="240" w:lineRule="auto"/>
              <w:ind w:firstLine="0"/>
              <w:jc w:val="center"/>
            </w:pPr>
            <w:r w:rsidRPr="00297CA7">
              <w:t>0.253</w:t>
            </w:r>
          </w:p>
        </w:tc>
        <w:tc>
          <w:tcPr>
            <w:tcW w:w="1620" w:type="dxa"/>
            <w:tcBorders>
              <w:top w:val="single" w:sz="4" w:space="0" w:color="auto"/>
              <w:left w:val="single" w:sz="4" w:space="0" w:color="3F3F3F"/>
              <w:bottom w:val="single" w:sz="4" w:space="0" w:color="3F3F3F"/>
              <w:right w:val="single" w:sz="4" w:space="0" w:color="3F3F3F"/>
            </w:tcBorders>
          </w:tcPr>
          <w:p w14:paraId="2897D195" w14:textId="77777777" w:rsidR="001615AB" w:rsidRPr="006F5E8B" w:rsidRDefault="001615AB" w:rsidP="008B5496">
            <w:pPr>
              <w:spacing w:line="240" w:lineRule="auto"/>
              <w:ind w:firstLine="0"/>
              <w:jc w:val="center"/>
              <w:rPr>
                <w:rFonts w:asciiTheme="majorHAnsi" w:eastAsia="Times New Roman" w:hAnsiTheme="majorHAnsi" w:cstheme="majorHAnsi"/>
                <w:color w:val="auto"/>
                <w:sz w:val="22"/>
                <w:szCs w:val="22"/>
                <w:lang w:eastAsia="en-US"/>
              </w:rPr>
            </w:pPr>
            <w:r w:rsidRPr="0051704D">
              <w:t>15.8%</w:t>
            </w:r>
          </w:p>
        </w:tc>
      </w:tr>
      <w:tr w:rsidR="001615AB" w:rsidRPr="006F5E8B" w14:paraId="3235325D" w14:textId="77777777" w:rsidTr="00631D84">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hideMark/>
          </w:tcPr>
          <w:p w14:paraId="0FC074F4" w14:textId="77777777" w:rsidR="001615AB" w:rsidRPr="006F5E8B" w:rsidRDefault="001615AB" w:rsidP="008B5496">
            <w:pPr>
              <w:spacing w:line="240" w:lineRule="auto"/>
              <w:ind w:firstLine="0"/>
              <w:rPr>
                <w:rFonts w:asciiTheme="majorHAnsi" w:eastAsia="Times New Roman" w:hAnsiTheme="majorHAnsi" w:cstheme="majorHAnsi"/>
                <w:color w:val="000000"/>
                <w:lang w:eastAsia="en-US"/>
              </w:rPr>
            </w:pPr>
            <w:r w:rsidRPr="006F5E8B">
              <w:rPr>
                <w:rFonts w:asciiTheme="majorHAnsi" w:eastAsia="Times New Roman" w:hAnsiTheme="majorHAnsi" w:cstheme="majorHAnsi"/>
                <w:color w:val="000000"/>
                <w:lang w:eastAsia="en-US"/>
              </w:rPr>
              <w:t>Failure Rate at +/- 10% (FR10)</w:t>
            </w:r>
          </w:p>
        </w:tc>
        <w:tc>
          <w:tcPr>
            <w:tcW w:w="1620" w:type="dxa"/>
            <w:tcBorders>
              <w:top w:val="nil"/>
              <w:left w:val="single" w:sz="4" w:space="0" w:color="3F3F3F"/>
              <w:bottom w:val="single" w:sz="4" w:space="0" w:color="3F3F3F"/>
              <w:right w:val="single" w:sz="4" w:space="0" w:color="3F3F3F"/>
            </w:tcBorders>
          </w:tcPr>
          <w:p w14:paraId="65537CB8" w14:textId="77777777" w:rsidR="001615AB" w:rsidRPr="0051704D" w:rsidRDefault="001615AB" w:rsidP="008B5496">
            <w:pPr>
              <w:spacing w:line="240" w:lineRule="auto"/>
              <w:ind w:firstLine="0"/>
              <w:jc w:val="center"/>
            </w:pPr>
            <w:r w:rsidRPr="00297CA7">
              <w:t>0.248</w:t>
            </w:r>
          </w:p>
        </w:tc>
        <w:tc>
          <w:tcPr>
            <w:tcW w:w="1620" w:type="dxa"/>
            <w:tcBorders>
              <w:top w:val="nil"/>
              <w:left w:val="single" w:sz="4" w:space="0" w:color="3F3F3F"/>
              <w:bottom w:val="single" w:sz="4" w:space="0" w:color="3F3F3F"/>
              <w:right w:val="single" w:sz="4" w:space="0" w:color="3F3F3F"/>
            </w:tcBorders>
          </w:tcPr>
          <w:p w14:paraId="4EE49501" w14:textId="77777777" w:rsidR="001615AB" w:rsidRPr="006F5E8B" w:rsidRDefault="001615AB" w:rsidP="008B5496">
            <w:pPr>
              <w:spacing w:line="240" w:lineRule="auto"/>
              <w:ind w:firstLine="0"/>
              <w:jc w:val="center"/>
              <w:rPr>
                <w:rFonts w:asciiTheme="majorHAnsi" w:eastAsia="Times New Roman" w:hAnsiTheme="majorHAnsi" w:cstheme="majorHAnsi"/>
                <w:color w:val="auto"/>
                <w:sz w:val="22"/>
                <w:szCs w:val="22"/>
                <w:lang w:eastAsia="en-US"/>
              </w:rPr>
            </w:pPr>
            <w:r w:rsidRPr="0051704D">
              <w:t>16.3%</w:t>
            </w:r>
          </w:p>
        </w:tc>
      </w:tr>
      <w:tr w:rsidR="001615AB" w:rsidRPr="006F5E8B" w14:paraId="0C70FDA8" w14:textId="77777777" w:rsidTr="00631D84">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hideMark/>
          </w:tcPr>
          <w:p w14:paraId="3DD9DBF3" w14:textId="77777777" w:rsidR="001615AB" w:rsidRPr="006F5E8B" w:rsidRDefault="001615AB" w:rsidP="008B5496">
            <w:pPr>
              <w:spacing w:line="240" w:lineRule="auto"/>
              <w:ind w:firstLine="0"/>
              <w:rPr>
                <w:rFonts w:asciiTheme="majorHAnsi" w:eastAsia="Times New Roman" w:hAnsiTheme="majorHAnsi" w:cstheme="majorHAnsi"/>
                <w:color w:val="000000"/>
                <w:lang w:eastAsia="en-US"/>
              </w:rPr>
            </w:pPr>
            <w:r w:rsidRPr="006F5E8B">
              <w:rPr>
                <w:rFonts w:asciiTheme="majorHAnsi" w:eastAsia="Times New Roman" w:hAnsiTheme="majorHAnsi" w:cstheme="majorHAnsi"/>
                <w:color w:val="000000"/>
                <w:lang w:eastAsia="en-US"/>
              </w:rPr>
              <w:t>Failure Rate at +/- 15% (FR15)</w:t>
            </w:r>
          </w:p>
        </w:tc>
        <w:tc>
          <w:tcPr>
            <w:tcW w:w="1620" w:type="dxa"/>
            <w:tcBorders>
              <w:top w:val="nil"/>
              <w:left w:val="single" w:sz="4" w:space="0" w:color="3F3F3F"/>
              <w:bottom w:val="single" w:sz="4" w:space="0" w:color="3F3F3F"/>
              <w:right w:val="single" w:sz="4" w:space="0" w:color="3F3F3F"/>
            </w:tcBorders>
          </w:tcPr>
          <w:p w14:paraId="69D7BBA9" w14:textId="77777777" w:rsidR="001615AB" w:rsidRPr="0051704D" w:rsidRDefault="001615AB" w:rsidP="008B5496">
            <w:pPr>
              <w:spacing w:line="240" w:lineRule="auto"/>
              <w:ind w:firstLine="0"/>
              <w:jc w:val="center"/>
            </w:pPr>
            <w:r w:rsidRPr="00297CA7">
              <w:t>0.221</w:t>
            </w:r>
          </w:p>
        </w:tc>
        <w:tc>
          <w:tcPr>
            <w:tcW w:w="1620" w:type="dxa"/>
            <w:tcBorders>
              <w:top w:val="nil"/>
              <w:left w:val="single" w:sz="4" w:space="0" w:color="3F3F3F"/>
              <w:bottom w:val="single" w:sz="4" w:space="0" w:color="3F3F3F"/>
              <w:right w:val="single" w:sz="4" w:space="0" w:color="3F3F3F"/>
            </w:tcBorders>
          </w:tcPr>
          <w:p w14:paraId="1447400D" w14:textId="77777777" w:rsidR="001615AB" w:rsidRPr="006F5E8B" w:rsidRDefault="001615AB" w:rsidP="008B5496">
            <w:pPr>
              <w:spacing w:line="240" w:lineRule="auto"/>
              <w:ind w:firstLine="0"/>
              <w:jc w:val="center"/>
              <w:rPr>
                <w:rFonts w:asciiTheme="majorHAnsi" w:eastAsia="Times New Roman" w:hAnsiTheme="majorHAnsi" w:cstheme="majorHAnsi"/>
                <w:color w:val="auto"/>
                <w:sz w:val="22"/>
                <w:szCs w:val="22"/>
                <w:lang w:eastAsia="en-US"/>
              </w:rPr>
            </w:pPr>
            <w:r w:rsidRPr="0051704D">
              <w:t>14.5%</w:t>
            </w:r>
          </w:p>
        </w:tc>
      </w:tr>
      <w:tr w:rsidR="001615AB" w:rsidRPr="006F5E8B" w14:paraId="77A615D4" w14:textId="77777777" w:rsidTr="00631D84">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hideMark/>
          </w:tcPr>
          <w:p w14:paraId="65BFBBB8" w14:textId="77777777" w:rsidR="001615AB" w:rsidRPr="006F5E8B" w:rsidRDefault="001615AB" w:rsidP="008B5496">
            <w:pPr>
              <w:spacing w:line="240" w:lineRule="auto"/>
              <w:ind w:firstLine="0"/>
              <w:rPr>
                <w:rFonts w:asciiTheme="majorHAnsi" w:eastAsia="Times New Roman" w:hAnsiTheme="majorHAnsi" w:cstheme="majorHAnsi"/>
                <w:color w:val="000000"/>
                <w:lang w:eastAsia="en-US"/>
              </w:rPr>
            </w:pPr>
            <w:r w:rsidRPr="006F5E8B">
              <w:rPr>
                <w:rFonts w:asciiTheme="majorHAnsi" w:eastAsia="Times New Roman" w:hAnsiTheme="majorHAnsi" w:cstheme="majorHAnsi"/>
                <w:color w:val="000000"/>
                <w:lang w:eastAsia="en-US"/>
              </w:rPr>
              <w:t>Failure Rate at +/- 20% (FR20)</w:t>
            </w:r>
          </w:p>
        </w:tc>
        <w:tc>
          <w:tcPr>
            <w:tcW w:w="1620" w:type="dxa"/>
            <w:tcBorders>
              <w:top w:val="nil"/>
              <w:left w:val="single" w:sz="4" w:space="0" w:color="3F3F3F"/>
              <w:bottom w:val="single" w:sz="4" w:space="0" w:color="3F3F3F"/>
              <w:right w:val="single" w:sz="4" w:space="0" w:color="3F3F3F"/>
            </w:tcBorders>
          </w:tcPr>
          <w:p w14:paraId="079169B3" w14:textId="77777777" w:rsidR="001615AB" w:rsidRPr="0051704D" w:rsidRDefault="001615AB" w:rsidP="008B5496">
            <w:pPr>
              <w:spacing w:line="240" w:lineRule="auto"/>
              <w:ind w:firstLine="0"/>
              <w:jc w:val="center"/>
            </w:pPr>
            <w:r w:rsidRPr="00297CA7">
              <w:t>0.196</w:t>
            </w:r>
          </w:p>
        </w:tc>
        <w:tc>
          <w:tcPr>
            <w:tcW w:w="1620" w:type="dxa"/>
            <w:tcBorders>
              <w:top w:val="nil"/>
              <w:left w:val="single" w:sz="4" w:space="0" w:color="3F3F3F"/>
              <w:bottom w:val="single" w:sz="4" w:space="0" w:color="3F3F3F"/>
              <w:right w:val="single" w:sz="4" w:space="0" w:color="3F3F3F"/>
            </w:tcBorders>
          </w:tcPr>
          <w:p w14:paraId="7090A20F" w14:textId="77777777" w:rsidR="001615AB" w:rsidRPr="006F5E8B" w:rsidRDefault="001615AB" w:rsidP="008B5496">
            <w:pPr>
              <w:spacing w:line="240" w:lineRule="auto"/>
              <w:ind w:firstLine="0"/>
              <w:jc w:val="center"/>
              <w:rPr>
                <w:rFonts w:asciiTheme="majorHAnsi" w:eastAsia="Times New Roman" w:hAnsiTheme="majorHAnsi" w:cstheme="majorHAnsi"/>
                <w:color w:val="auto"/>
                <w:sz w:val="22"/>
                <w:szCs w:val="22"/>
                <w:lang w:eastAsia="en-US"/>
              </w:rPr>
            </w:pPr>
            <w:r w:rsidRPr="0051704D">
              <w:t>12.7%</w:t>
            </w:r>
          </w:p>
        </w:tc>
      </w:tr>
      <w:tr w:rsidR="001615AB" w:rsidRPr="006F5E8B" w14:paraId="6FDCF31B" w14:textId="77777777" w:rsidTr="00631D84">
        <w:trPr>
          <w:trHeight w:val="312"/>
        </w:trPr>
        <w:tc>
          <w:tcPr>
            <w:tcW w:w="4595" w:type="dxa"/>
            <w:tcBorders>
              <w:top w:val="single" w:sz="4" w:space="0" w:color="auto"/>
              <w:left w:val="single" w:sz="4" w:space="0" w:color="auto"/>
              <w:bottom w:val="single" w:sz="4" w:space="0" w:color="auto"/>
              <w:right w:val="nil"/>
            </w:tcBorders>
            <w:shd w:val="clear" w:color="auto" w:fill="auto"/>
            <w:noWrap/>
            <w:vAlign w:val="bottom"/>
            <w:hideMark/>
          </w:tcPr>
          <w:p w14:paraId="39A053F0" w14:textId="77777777" w:rsidR="001615AB" w:rsidRPr="006F5E8B" w:rsidRDefault="001615AB" w:rsidP="008B5496">
            <w:pPr>
              <w:spacing w:line="240" w:lineRule="auto"/>
              <w:ind w:firstLine="0"/>
              <w:rPr>
                <w:rFonts w:asciiTheme="majorHAnsi" w:eastAsia="Times New Roman" w:hAnsiTheme="majorHAnsi" w:cstheme="majorHAnsi"/>
                <w:color w:val="000000"/>
                <w:lang w:eastAsia="en-US"/>
              </w:rPr>
            </w:pPr>
            <w:r w:rsidRPr="006F5E8B">
              <w:rPr>
                <w:rFonts w:asciiTheme="majorHAnsi" w:eastAsia="Times New Roman" w:hAnsiTheme="majorHAnsi" w:cstheme="majorHAnsi"/>
                <w:color w:val="000000"/>
                <w:lang w:eastAsia="en-US"/>
              </w:rPr>
              <w:t>Right Tail (RT20)</w:t>
            </w:r>
          </w:p>
        </w:tc>
        <w:tc>
          <w:tcPr>
            <w:tcW w:w="1620" w:type="dxa"/>
            <w:tcBorders>
              <w:top w:val="nil"/>
              <w:left w:val="single" w:sz="4" w:space="0" w:color="3F3F3F"/>
              <w:bottom w:val="single" w:sz="4" w:space="0" w:color="3F3F3F"/>
              <w:right w:val="single" w:sz="4" w:space="0" w:color="3F3F3F"/>
            </w:tcBorders>
          </w:tcPr>
          <w:p w14:paraId="56C0E3A5" w14:textId="77777777" w:rsidR="001615AB" w:rsidRPr="0051704D" w:rsidRDefault="001615AB" w:rsidP="008B5496">
            <w:pPr>
              <w:spacing w:line="240" w:lineRule="auto"/>
              <w:ind w:firstLine="0"/>
              <w:jc w:val="center"/>
            </w:pPr>
            <w:r w:rsidRPr="00297CA7">
              <w:t>0.143</w:t>
            </w:r>
          </w:p>
        </w:tc>
        <w:tc>
          <w:tcPr>
            <w:tcW w:w="1620" w:type="dxa"/>
            <w:tcBorders>
              <w:top w:val="nil"/>
              <w:left w:val="single" w:sz="4" w:space="0" w:color="3F3F3F"/>
              <w:bottom w:val="single" w:sz="4" w:space="0" w:color="3F3F3F"/>
              <w:right w:val="single" w:sz="4" w:space="0" w:color="3F3F3F"/>
            </w:tcBorders>
          </w:tcPr>
          <w:p w14:paraId="40EA1964" w14:textId="77777777" w:rsidR="001615AB" w:rsidRPr="006F5E8B" w:rsidRDefault="001615AB" w:rsidP="008B5496">
            <w:pPr>
              <w:spacing w:line="240" w:lineRule="auto"/>
              <w:ind w:firstLine="0"/>
              <w:jc w:val="center"/>
              <w:rPr>
                <w:rFonts w:asciiTheme="majorHAnsi" w:eastAsia="Times New Roman" w:hAnsiTheme="majorHAnsi" w:cstheme="majorHAnsi"/>
                <w:color w:val="auto"/>
                <w:sz w:val="22"/>
                <w:szCs w:val="22"/>
                <w:lang w:eastAsia="en-US"/>
              </w:rPr>
            </w:pPr>
            <w:r w:rsidRPr="0051704D">
              <w:t>8.3%</w:t>
            </w:r>
          </w:p>
        </w:tc>
      </w:tr>
    </w:tbl>
    <w:p w14:paraId="48DDFFD0" w14:textId="32E303EF" w:rsidR="00DA3875" w:rsidRDefault="00DA3875" w:rsidP="00F97CC6">
      <w:pPr>
        <w:spacing w:line="240" w:lineRule="auto"/>
        <w:ind w:firstLine="0"/>
        <w:rPr>
          <w:rFonts w:asciiTheme="majorHAnsi" w:hAnsiTheme="majorHAnsi" w:cstheme="majorHAnsi"/>
          <w:b/>
        </w:rPr>
      </w:pPr>
    </w:p>
    <w:p w14:paraId="4A1AC689" w14:textId="77777777" w:rsidR="00DA3875" w:rsidRDefault="00DA3875">
      <w:pPr>
        <w:rPr>
          <w:rFonts w:asciiTheme="majorHAnsi" w:hAnsiTheme="majorHAnsi" w:cstheme="majorHAnsi"/>
          <w:b/>
        </w:rPr>
      </w:pPr>
      <w:r>
        <w:rPr>
          <w:rFonts w:asciiTheme="majorHAnsi" w:hAnsiTheme="majorHAnsi" w:cstheme="majorHAnsi"/>
          <w:b/>
        </w:rPr>
        <w:br w:type="page"/>
      </w:r>
    </w:p>
    <w:p w14:paraId="5FE6C366" w14:textId="77777777" w:rsidR="00DA3875" w:rsidRDefault="00DA3875" w:rsidP="00F97CC6">
      <w:pPr>
        <w:spacing w:line="240" w:lineRule="auto"/>
        <w:ind w:firstLine="0"/>
        <w:rPr>
          <w:rFonts w:asciiTheme="majorHAnsi" w:hAnsiTheme="majorHAnsi" w:cstheme="majorHAnsi"/>
          <w:b/>
        </w:rPr>
      </w:pPr>
    </w:p>
    <w:p w14:paraId="25CB8190" w14:textId="05DB4B22" w:rsidR="00F97CC6" w:rsidRPr="008F5B7E" w:rsidRDefault="00F97CC6" w:rsidP="00F97CC6">
      <w:pPr>
        <w:spacing w:line="240" w:lineRule="auto"/>
        <w:ind w:firstLine="0"/>
        <w:rPr>
          <w:rFonts w:asciiTheme="majorHAnsi" w:hAnsiTheme="majorHAnsi" w:cstheme="majorHAnsi"/>
        </w:rPr>
      </w:pPr>
      <w:r>
        <w:rPr>
          <w:rFonts w:asciiTheme="majorHAnsi" w:hAnsiTheme="majorHAnsi" w:cstheme="majorHAnsi"/>
          <w:b/>
        </w:rPr>
        <w:t>Exhibit</w:t>
      </w:r>
      <w:r w:rsidRPr="006F5E8B">
        <w:rPr>
          <w:rFonts w:asciiTheme="majorHAnsi" w:hAnsiTheme="majorHAnsi" w:cstheme="majorHAnsi"/>
          <w:b/>
        </w:rPr>
        <w:t xml:space="preserve"> </w:t>
      </w:r>
      <w:r>
        <w:rPr>
          <w:rFonts w:asciiTheme="majorHAnsi" w:hAnsiTheme="majorHAnsi" w:cstheme="majorHAnsi"/>
          <w:b/>
        </w:rPr>
        <w:t>6</w:t>
      </w:r>
      <w:r w:rsidRPr="006F5E8B">
        <w:rPr>
          <w:rFonts w:asciiTheme="majorHAnsi" w:hAnsiTheme="majorHAnsi" w:cstheme="majorHAnsi"/>
          <w:b/>
        </w:rPr>
        <w:t xml:space="preserve">: </w:t>
      </w:r>
      <w:r>
        <w:rPr>
          <w:rFonts w:asciiTheme="majorHAnsi" w:hAnsiTheme="majorHAnsi" w:cstheme="majorHAnsi"/>
        </w:rPr>
        <w:t>Expanded AVM-by-FSD analysis results. F</w:t>
      </w:r>
      <w:r w:rsidRPr="006F5E8B">
        <w:rPr>
          <w:rFonts w:asciiTheme="majorHAnsi" w:hAnsiTheme="majorHAnsi" w:cstheme="majorHAnsi"/>
        </w:rPr>
        <w:t>ive best performing AVM/FSD combinations</w:t>
      </w:r>
      <w:r>
        <w:rPr>
          <w:rFonts w:asciiTheme="majorHAnsi" w:hAnsiTheme="majorHAnsi" w:cstheme="majorHAnsi"/>
        </w:rPr>
        <w:t>, out of the 367 total</w:t>
      </w:r>
      <w:r w:rsidRPr="006F5E8B">
        <w:rPr>
          <w:rFonts w:asciiTheme="majorHAnsi" w:hAnsiTheme="majorHAnsi" w:cstheme="majorHAnsi"/>
        </w:rPr>
        <w:t>.</w:t>
      </w:r>
      <w:r w:rsidRPr="006F5E8B">
        <w:rPr>
          <w:rFonts w:asciiTheme="majorHAnsi" w:eastAsia="Times New Roman" w:hAnsiTheme="majorHAnsi" w:cstheme="majorHAnsi"/>
          <w:color w:val="000000"/>
          <w:lang w:eastAsia="en-US"/>
        </w:rPr>
        <w:t xml:space="preserve"> </w:t>
      </w:r>
    </w:p>
    <w:p w14:paraId="0B363BA5" w14:textId="77777777" w:rsidR="00F97CC6" w:rsidRPr="00272117" w:rsidRDefault="00F97CC6" w:rsidP="00F97CC6">
      <w:pPr>
        <w:spacing w:line="240" w:lineRule="auto"/>
        <w:ind w:firstLine="0"/>
        <w:rPr>
          <w:rFonts w:asciiTheme="majorHAnsi" w:eastAsia="Times New Roman" w:hAnsiTheme="majorHAnsi" w:cstheme="majorHAnsi"/>
          <w:color w:val="auto"/>
          <w:lang w:eastAsia="en-US"/>
        </w:rPr>
      </w:pPr>
    </w:p>
    <w:tbl>
      <w:tblPr>
        <w:tblW w:w="86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960"/>
        <w:gridCol w:w="960"/>
        <w:gridCol w:w="960"/>
        <w:gridCol w:w="960"/>
        <w:gridCol w:w="960"/>
      </w:tblGrid>
      <w:tr w:rsidR="00F97CC6" w:rsidRPr="00AA03ED" w14:paraId="27688D86" w14:textId="77777777" w:rsidTr="008B5496">
        <w:trPr>
          <w:trHeight w:val="312"/>
        </w:trPr>
        <w:tc>
          <w:tcPr>
            <w:tcW w:w="3830" w:type="dxa"/>
            <w:shd w:val="clear" w:color="auto" w:fill="auto"/>
            <w:noWrap/>
            <w:vAlign w:val="bottom"/>
            <w:hideMark/>
          </w:tcPr>
          <w:p w14:paraId="3A9AE39C" w14:textId="77777777" w:rsidR="00F97CC6" w:rsidRPr="00AA03ED" w:rsidRDefault="00F97CC6" w:rsidP="008B5496">
            <w:pPr>
              <w:spacing w:line="240" w:lineRule="auto"/>
              <w:ind w:firstLine="0"/>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Rank</w:t>
            </w:r>
          </w:p>
        </w:tc>
        <w:tc>
          <w:tcPr>
            <w:tcW w:w="960" w:type="dxa"/>
            <w:shd w:val="clear" w:color="auto" w:fill="auto"/>
            <w:noWrap/>
            <w:vAlign w:val="bottom"/>
            <w:hideMark/>
          </w:tcPr>
          <w:p w14:paraId="631ABA20" w14:textId="77777777" w:rsidR="00F97CC6" w:rsidRPr="00AA03ED" w:rsidRDefault="00F97CC6" w:rsidP="008B5496">
            <w:pPr>
              <w:spacing w:line="240" w:lineRule="auto"/>
              <w:ind w:firstLine="0"/>
              <w:jc w:val="center"/>
              <w:rPr>
                <w:rFonts w:ascii="Times New Roman" w:eastAsia="Times New Roman" w:hAnsi="Times New Roman" w:cs="Times New Roman"/>
                <w:color w:val="000000"/>
                <w:lang w:eastAsia="en-US"/>
              </w:rPr>
            </w:pPr>
            <w:r w:rsidRPr="00AA03ED">
              <w:rPr>
                <w:rFonts w:ascii="Times New Roman" w:eastAsia="Times New Roman" w:hAnsi="Times New Roman" w:cs="Times New Roman"/>
                <w:color w:val="000000"/>
                <w:lang w:eastAsia="en-US"/>
              </w:rPr>
              <w:t>1</w:t>
            </w:r>
          </w:p>
        </w:tc>
        <w:tc>
          <w:tcPr>
            <w:tcW w:w="960" w:type="dxa"/>
            <w:shd w:val="clear" w:color="auto" w:fill="auto"/>
            <w:noWrap/>
            <w:vAlign w:val="bottom"/>
            <w:hideMark/>
          </w:tcPr>
          <w:p w14:paraId="13635164" w14:textId="77777777" w:rsidR="00F97CC6" w:rsidRPr="00AA03ED" w:rsidRDefault="00F97CC6" w:rsidP="008B5496">
            <w:pPr>
              <w:spacing w:line="240" w:lineRule="auto"/>
              <w:ind w:firstLine="0"/>
              <w:jc w:val="center"/>
              <w:rPr>
                <w:rFonts w:ascii="Times New Roman" w:eastAsia="Times New Roman" w:hAnsi="Times New Roman" w:cs="Times New Roman"/>
                <w:color w:val="000000"/>
                <w:lang w:eastAsia="en-US"/>
              </w:rPr>
            </w:pPr>
            <w:r w:rsidRPr="00AA03ED">
              <w:rPr>
                <w:rFonts w:ascii="Times New Roman" w:eastAsia="Times New Roman" w:hAnsi="Times New Roman" w:cs="Times New Roman"/>
                <w:color w:val="000000"/>
                <w:lang w:eastAsia="en-US"/>
              </w:rPr>
              <w:t>2</w:t>
            </w:r>
          </w:p>
        </w:tc>
        <w:tc>
          <w:tcPr>
            <w:tcW w:w="960" w:type="dxa"/>
            <w:shd w:val="clear" w:color="auto" w:fill="auto"/>
            <w:noWrap/>
            <w:vAlign w:val="bottom"/>
            <w:hideMark/>
          </w:tcPr>
          <w:p w14:paraId="64363527" w14:textId="77777777" w:rsidR="00F97CC6" w:rsidRPr="00AA03ED" w:rsidRDefault="00F97CC6" w:rsidP="008B5496">
            <w:pPr>
              <w:spacing w:line="240" w:lineRule="auto"/>
              <w:ind w:firstLine="0"/>
              <w:jc w:val="center"/>
              <w:rPr>
                <w:rFonts w:ascii="Times New Roman" w:eastAsia="Times New Roman" w:hAnsi="Times New Roman" w:cs="Times New Roman"/>
                <w:color w:val="000000"/>
                <w:lang w:eastAsia="en-US"/>
              </w:rPr>
            </w:pPr>
            <w:r w:rsidRPr="00AA03ED">
              <w:rPr>
                <w:rFonts w:ascii="Times New Roman" w:eastAsia="Times New Roman" w:hAnsi="Times New Roman" w:cs="Times New Roman"/>
                <w:color w:val="000000"/>
                <w:lang w:eastAsia="en-US"/>
              </w:rPr>
              <w:t>3</w:t>
            </w:r>
          </w:p>
        </w:tc>
        <w:tc>
          <w:tcPr>
            <w:tcW w:w="960" w:type="dxa"/>
            <w:shd w:val="clear" w:color="auto" w:fill="auto"/>
            <w:noWrap/>
            <w:vAlign w:val="bottom"/>
            <w:hideMark/>
          </w:tcPr>
          <w:p w14:paraId="0EA2127B" w14:textId="77777777" w:rsidR="00F97CC6" w:rsidRPr="00AA03ED" w:rsidRDefault="00F97CC6" w:rsidP="008B5496">
            <w:pPr>
              <w:spacing w:line="240" w:lineRule="auto"/>
              <w:ind w:firstLine="0"/>
              <w:jc w:val="center"/>
              <w:rPr>
                <w:rFonts w:ascii="Times New Roman" w:eastAsia="Times New Roman" w:hAnsi="Times New Roman" w:cs="Times New Roman"/>
                <w:color w:val="000000"/>
                <w:lang w:eastAsia="en-US"/>
              </w:rPr>
            </w:pPr>
            <w:r w:rsidRPr="00AA03ED">
              <w:rPr>
                <w:rFonts w:ascii="Times New Roman" w:eastAsia="Times New Roman" w:hAnsi="Times New Roman" w:cs="Times New Roman"/>
                <w:color w:val="000000"/>
                <w:lang w:eastAsia="en-US"/>
              </w:rPr>
              <w:t>4</w:t>
            </w:r>
          </w:p>
        </w:tc>
        <w:tc>
          <w:tcPr>
            <w:tcW w:w="960" w:type="dxa"/>
            <w:shd w:val="clear" w:color="auto" w:fill="auto"/>
            <w:noWrap/>
            <w:vAlign w:val="bottom"/>
            <w:hideMark/>
          </w:tcPr>
          <w:p w14:paraId="7AABAF14" w14:textId="77777777" w:rsidR="00F97CC6" w:rsidRPr="00AA03ED" w:rsidRDefault="00F97CC6" w:rsidP="008B5496">
            <w:pPr>
              <w:spacing w:line="240" w:lineRule="auto"/>
              <w:ind w:firstLine="0"/>
              <w:jc w:val="center"/>
              <w:rPr>
                <w:rFonts w:ascii="Times New Roman" w:eastAsia="Times New Roman" w:hAnsi="Times New Roman" w:cs="Times New Roman"/>
                <w:color w:val="000000"/>
                <w:lang w:eastAsia="en-US"/>
              </w:rPr>
            </w:pPr>
            <w:r w:rsidRPr="00AA03ED">
              <w:rPr>
                <w:rFonts w:ascii="Times New Roman" w:eastAsia="Times New Roman" w:hAnsi="Times New Roman" w:cs="Times New Roman"/>
                <w:color w:val="000000"/>
                <w:lang w:eastAsia="en-US"/>
              </w:rPr>
              <w:t>5</w:t>
            </w:r>
          </w:p>
        </w:tc>
      </w:tr>
      <w:tr w:rsidR="00F97CC6" w:rsidRPr="00AA03ED" w14:paraId="6FC44459" w14:textId="77777777" w:rsidTr="008B5496">
        <w:trPr>
          <w:trHeight w:val="312"/>
        </w:trPr>
        <w:tc>
          <w:tcPr>
            <w:tcW w:w="3830" w:type="dxa"/>
            <w:shd w:val="clear" w:color="auto" w:fill="auto"/>
            <w:noWrap/>
            <w:vAlign w:val="bottom"/>
            <w:hideMark/>
          </w:tcPr>
          <w:p w14:paraId="710A1FE0" w14:textId="77777777" w:rsidR="00F97CC6" w:rsidRPr="00AA03ED" w:rsidRDefault="00F97CC6" w:rsidP="008B5496">
            <w:pPr>
              <w:spacing w:line="240" w:lineRule="auto"/>
              <w:ind w:firstLine="0"/>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Model</w:t>
            </w:r>
          </w:p>
        </w:tc>
        <w:tc>
          <w:tcPr>
            <w:tcW w:w="960" w:type="dxa"/>
            <w:shd w:val="clear" w:color="auto" w:fill="auto"/>
            <w:noWrap/>
            <w:vAlign w:val="bottom"/>
            <w:hideMark/>
          </w:tcPr>
          <w:p w14:paraId="2C75B82E" w14:textId="77777777" w:rsidR="00F97CC6" w:rsidRPr="00AA03ED" w:rsidRDefault="00F97CC6" w:rsidP="008B5496">
            <w:pPr>
              <w:spacing w:line="240" w:lineRule="auto"/>
              <w:ind w:firstLine="0"/>
              <w:jc w:val="center"/>
              <w:rPr>
                <w:rFonts w:ascii="Times New Roman" w:eastAsia="Times New Roman" w:hAnsi="Times New Roman" w:cs="Times New Roman"/>
                <w:color w:val="000000"/>
                <w:lang w:eastAsia="en-US"/>
              </w:rPr>
            </w:pPr>
            <w:r w:rsidRPr="00AA03ED">
              <w:rPr>
                <w:rFonts w:ascii="Times New Roman" w:eastAsia="Times New Roman" w:hAnsi="Times New Roman" w:cs="Times New Roman"/>
                <w:color w:val="000000"/>
                <w:lang w:eastAsia="en-US"/>
              </w:rPr>
              <w:t>6</w:t>
            </w:r>
          </w:p>
        </w:tc>
        <w:tc>
          <w:tcPr>
            <w:tcW w:w="960" w:type="dxa"/>
            <w:shd w:val="clear" w:color="auto" w:fill="auto"/>
            <w:noWrap/>
            <w:vAlign w:val="bottom"/>
            <w:hideMark/>
          </w:tcPr>
          <w:p w14:paraId="3B279474" w14:textId="77777777" w:rsidR="00F97CC6" w:rsidRPr="00AA03ED" w:rsidRDefault="00F97CC6" w:rsidP="008B5496">
            <w:pPr>
              <w:spacing w:line="240" w:lineRule="auto"/>
              <w:ind w:firstLine="0"/>
              <w:jc w:val="center"/>
              <w:rPr>
                <w:rFonts w:ascii="Times New Roman" w:eastAsia="Times New Roman" w:hAnsi="Times New Roman" w:cs="Times New Roman"/>
                <w:color w:val="000000"/>
                <w:lang w:eastAsia="en-US"/>
              </w:rPr>
            </w:pPr>
            <w:r w:rsidRPr="00AA03ED">
              <w:rPr>
                <w:rFonts w:ascii="Times New Roman" w:eastAsia="Times New Roman" w:hAnsi="Times New Roman" w:cs="Times New Roman"/>
                <w:color w:val="000000"/>
                <w:lang w:eastAsia="en-US"/>
              </w:rPr>
              <w:t>6</w:t>
            </w:r>
          </w:p>
        </w:tc>
        <w:tc>
          <w:tcPr>
            <w:tcW w:w="960" w:type="dxa"/>
            <w:shd w:val="clear" w:color="auto" w:fill="auto"/>
            <w:noWrap/>
            <w:vAlign w:val="bottom"/>
            <w:hideMark/>
          </w:tcPr>
          <w:p w14:paraId="7876F483" w14:textId="77777777" w:rsidR="00F97CC6" w:rsidRPr="00AA03ED" w:rsidRDefault="00F97CC6" w:rsidP="008B5496">
            <w:pPr>
              <w:spacing w:line="240" w:lineRule="auto"/>
              <w:ind w:firstLine="0"/>
              <w:jc w:val="center"/>
              <w:rPr>
                <w:rFonts w:ascii="Times New Roman" w:eastAsia="Times New Roman" w:hAnsi="Times New Roman" w:cs="Times New Roman"/>
                <w:color w:val="000000"/>
                <w:lang w:eastAsia="en-US"/>
              </w:rPr>
            </w:pPr>
            <w:r w:rsidRPr="00AA03ED">
              <w:rPr>
                <w:rFonts w:ascii="Times New Roman" w:eastAsia="Times New Roman" w:hAnsi="Times New Roman" w:cs="Times New Roman"/>
                <w:color w:val="000000"/>
                <w:lang w:eastAsia="en-US"/>
              </w:rPr>
              <w:t>6</w:t>
            </w:r>
          </w:p>
        </w:tc>
        <w:tc>
          <w:tcPr>
            <w:tcW w:w="960" w:type="dxa"/>
            <w:shd w:val="clear" w:color="auto" w:fill="auto"/>
            <w:noWrap/>
            <w:vAlign w:val="bottom"/>
            <w:hideMark/>
          </w:tcPr>
          <w:p w14:paraId="068F45A5" w14:textId="77777777" w:rsidR="00F97CC6" w:rsidRPr="00AA03ED" w:rsidRDefault="00F97CC6" w:rsidP="008B5496">
            <w:pPr>
              <w:spacing w:line="240" w:lineRule="auto"/>
              <w:ind w:firstLine="0"/>
              <w:jc w:val="center"/>
              <w:rPr>
                <w:rFonts w:ascii="Times New Roman" w:eastAsia="Times New Roman" w:hAnsi="Times New Roman" w:cs="Times New Roman"/>
                <w:color w:val="000000"/>
                <w:lang w:eastAsia="en-US"/>
              </w:rPr>
            </w:pPr>
            <w:r w:rsidRPr="00AA03ED">
              <w:rPr>
                <w:rFonts w:ascii="Times New Roman" w:eastAsia="Times New Roman" w:hAnsi="Times New Roman" w:cs="Times New Roman"/>
                <w:color w:val="000000"/>
                <w:lang w:eastAsia="en-US"/>
              </w:rPr>
              <w:t>6</w:t>
            </w:r>
          </w:p>
        </w:tc>
        <w:tc>
          <w:tcPr>
            <w:tcW w:w="960" w:type="dxa"/>
            <w:shd w:val="clear" w:color="auto" w:fill="auto"/>
            <w:noWrap/>
            <w:vAlign w:val="bottom"/>
            <w:hideMark/>
          </w:tcPr>
          <w:p w14:paraId="416F8EC0" w14:textId="77777777" w:rsidR="00F97CC6" w:rsidRPr="00AA03ED" w:rsidRDefault="00F97CC6" w:rsidP="008B5496">
            <w:pPr>
              <w:spacing w:line="240" w:lineRule="auto"/>
              <w:ind w:firstLine="0"/>
              <w:jc w:val="center"/>
              <w:rPr>
                <w:rFonts w:ascii="Times New Roman" w:eastAsia="Times New Roman" w:hAnsi="Times New Roman" w:cs="Times New Roman"/>
                <w:color w:val="000000"/>
                <w:lang w:eastAsia="en-US"/>
              </w:rPr>
            </w:pPr>
            <w:r w:rsidRPr="00AA03ED">
              <w:rPr>
                <w:rFonts w:ascii="Times New Roman" w:eastAsia="Times New Roman" w:hAnsi="Times New Roman" w:cs="Times New Roman"/>
                <w:color w:val="000000"/>
                <w:lang w:eastAsia="en-US"/>
              </w:rPr>
              <w:t>6</w:t>
            </w:r>
          </w:p>
        </w:tc>
      </w:tr>
      <w:tr w:rsidR="00F97CC6" w:rsidRPr="00AA03ED" w14:paraId="178880A1" w14:textId="77777777" w:rsidTr="008B5496">
        <w:trPr>
          <w:trHeight w:val="312"/>
        </w:trPr>
        <w:tc>
          <w:tcPr>
            <w:tcW w:w="3830" w:type="dxa"/>
            <w:shd w:val="clear" w:color="auto" w:fill="auto"/>
            <w:noWrap/>
            <w:vAlign w:val="bottom"/>
            <w:hideMark/>
          </w:tcPr>
          <w:p w14:paraId="577EFA0D" w14:textId="499026F5" w:rsidR="00F97CC6" w:rsidRPr="00AA03ED" w:rsidRDefault="00F97CC6" w:rsidP="008B5496">
            <w:pPr>
              <w:spacing w:line="240" w:lineRule="auto"/>
              <w:ind w:firstLine="0"/>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Vendor-Reported FSD</w:t>
            </w:r>
          </w:p>
        </w:tc>
        <w:tc>
          <w:tcPr>
            <w:tcW w:w="960" w:type="dxa"/>
            <w:shd w:val="clear" w:color="auto" w:fill="auto"/>
            <w:noWrap/>
            <w:vAlign w:val="bottom"/>
            <w:hideMark/>
          </w:tcPr>
          <w:p w14:paraId="3D4B97F8" w14:textId="77777777" w:rsidR="00F97CC6" w:rsidRPr="00AA03ED" w:rsidRDefault="00F97CC6" w:rsidP="008B5496">
            <w:pPr>
              <w:spacing w:line="240" w:lineRule="auto"/>
              <w:ind w:firstLine="0"/>
              <w:jc w:val="center"/>
              <w:rPr>
                <w:rFonts w:ascii="Times New Roman" w:eastAsia="Times New Roman" w:hAnsi="Times New Roman" w:cs="Times New Roman"/>
                <w:color w:val="000000"/>
                <w:lang w:eastAsia="en-US"/>
              </w:rPr>
            </w:pPr>
            <w:r w:rsidRPr="00AA03ED">
              <w:rPr>
                <w:rFonts w:ascii="Times New Roman" w:eastAsia="Times New Roman" w:hAnsi="Times New Roman" w:cs="Times New Roman"/>
                <w:color w:val="000000"/>
                <w:lang w:eastAsia="en-US"/>
              </w:rPr>
              <w:t>4</w:t>
            </w:r>
          </w:p>
        </w:tc>
        <w:tc>
          <w:tcPr>
            <w:tcW w:w="960" w:type="dxa"/>
            <w:shd w:val="clear" w:color="auto" w:fill="auto"/>
            <w:noWrap/>
            <w:vAlign w:val="bottom"/>
            <w:hideMark/>
          </w:tcPr>
          <w:p w14:paraId="1811D75E" w14:textId="77777777" w:rsidR="00F97CC6" w:rsidRPr="00AA03ED" w:rsidRDefault="00F97CC6" w:rsidP="008B5496">
            <w:pPr>
              <w:spacing w:line="240" w:lineRule="auto"/>
              <w:ind w:firstLine="0"/>
              <w:jc w:val="center"/>
              <w:rPr>
                <w:rFonts w:ascii="Times New Roman" w:eastAsia="Times New Roman" w:hAnsi="Times New Roman" w:cs="Times New Roman"/>
                <w:color w:val="000000"/>
                <w:lang w:eastAsia="en-US"/>
              </w:rPr>
            </w:pPr>
            <w:r w:rsidRPr="00AA03ED">
              <w:rPr>
                <w:rFonts w:ascii="Times New Roman" w:eastAsia="Times New Roman" w:hAnsi="Times New Roman" w:cs="Times New Roman"/>
                <w:color w:val="000000"/>
                <w:lang w:eastAsia="en-US"/>
              </w:rPr>
              <w:t>5</w:t>
            </w:r>
          </w:p>
        </w:tc>
        <w:tc>
          <w:tcPr>
            <w:tcW w:w="960" w:type="dxa"/>
            <w:shd w:val="clear" w:color="auto" w:fill="auto"/>
            <w:noWrap/>
            <w:vAlign w:val="bottom"/>
            <w:hideMark/>
          </w:tcPr>
          <w:p w14:paraId="7F7FF58E" w14:textId="77777777" w:rsidR="00F97CC6" w:rsidRPr="00AA03ED" w:rsidRDefault="00F97CC6" w:rsidP="008B5496">
            <w:pPr>
              <w:spacing w:line="240" w:lineRule="auto"/>
              <w:ind w:firstLine="0"/>
              <w:jc w:val="center"/>
              <w:rPr>
                <w:rFonts w:ascii="Times New Roman" w:eastAsia="Times New Roman" w:hAnsi="Times New Roman" w:cs="Times New Roman"/>
                <w:color w:val="000000"/>
                <w:lang w:eastAsia="en-US"/>
              </w:rPr>
            </w:pPr>
            <w:r w:rsidRPr="00AA03ED">
              <w:rPr>
                <w:rFonts w:ascii="Times New Roman" w:eastAsia="Times New Roman" w:hAnsi="Times New Roman" w:cs="Times New Roman"/>
                <w:color w:val="000000"/>
                <w:lang w:eastAsia="en-US"/>
              </w:rPr>
              <w:t>6</w:t>
            </w:r>
          </w:p>
        </w:tc>
        <w:tc>
          <w:tcPr>
            <w:tcW w:w="960" w:type="dxa"/>
            <w:shd w:val="clear" w:color="auto" w:fill="auto"/>
            <w:noWrap/>
            <w:vAlign w:val="bottom"/>
            <w:hideMark/>
          </w:tcPr>
          <w:p w14:paraId="6AFC4291" w14:textId="77777777" w:rsidR="00F97CC6" w:rsidRPr="00AA03ED" w:rsidRDefault="00F97CC6" w:rsidP="008B5496">
            <w:pPr>
              <w:spacing w:line="240" w:lineRule="auto"/>
              <w:ind w:firstLine="0"/>
              <w:jc w:val="center"/>
              <w:rPr>
                <w:rFonts w:ascii="Times New Roman" w:eastAsia="Times New Roman" w:hAnsi="Times New Roman" w:cs="Times New Roman"/>
                <w:color w:val="000000"/>
                <w:lang w:eastAsia="en-US"/>
              </w:rPr>
            </w:pPr>
            <w:r w:rsidRPr="00AA03ED">
              <w:rPr>
                <w:rFonts w:ascii="Times New Roman" w:eastAsia="Times New Roman" w:hAnsi="Times New Roman" w:cs="Times New Roman"/>
                <w:color w:val="000000"/>
                <w:lang w:eastAsia="en-US"/>
              </w:rPr>
              <w:t>3</w:t>
            </w:r>
          </w:p>
        </w:tc>
        <w:tc>
          <w:tcPr>
            <w:tcW w:w="960" w:type="dxa"/>
            <w:shd w:val="clear" w:color="auto" w:fill="auto"/>
            <w:noWrap/>
            <w:vAlign w:val="bottom"/>
            <w:hideMark/>
          </w:tcPr>
          <w:p w14:paraId="6A92A9C9" w14:textId="77777777" w:rsidR="00F97CC6" w:rsidRPr="00AA03ED" w:rsidRDefault="00F97CC6" w:rsidP="008B5496">
            <w:pPr>
              <w:spacing w:line="240" w:lineRule="auto"/>
              <w:ind w:firstLine="0"/>
              <w:jc w:val="center"/>
              <w:rPr>
                <w:rFonts w:ascii="Times New Roman" w:eastAsia="Times New Roman" w:hAnsi="Times New Roman" w:cs="Times New Roman"/>
                <w:color w:val="000000"/>
                <w:lang w:eastAsia="en-US"/>
              </w:rPr>
            </w:pPr>
            <w:r w:rsidRPr="00AA03ED">
              <w:rPr>
                <w:rFonts w:ascii="Times New Roman" w:eastAsia="Times New Roman" w:hAnsi="Times New Roman" w:cs="Times New Roman"/>
                <w:color w:val="000000"/>
                <w:lang w:eastAsia="en-US"/>
              </w:rPr>
              <w:t>7</w:t>
            </w:r>
          </w:p>
        </w:tc>
      </w:tr>
      <w:tr w:rsidR="00F97CC6" w:rsidRPr="00AA03ED" w14:paraId="01C6A62B" w14:textId="77777777" w:rsidTr="008B5496">
        <w:trPr>
          <w:trHeight w:val="288"/>
        </w:trPr>
        <w:tc>
          <w:tcPr>
            <w:tcW w:w="3830" w:type="dxa"/>
            <w:shd w:val="clear" w:color="auto" w:fill="auto"/>
            <w:noWrap/>
            <w:vAlign w:val="bottom"/>
            <w:hideMark/>
          </w:tcPr>
          <w:p w14:paraId="6ABB5696" w14:textId="77777777" w:rsidR="00F97CC6" w:rsidRPr="00AA03ED" w:rsidRDefault="00F97CC6" w:rsidP="008B5496">
            <w:pPr>
              <w:spacing w:line="240" w:lineRule="auto"/>
              <w:ind w:firstLine="0"/>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AVM-E</w:t>
            </w:r>
            <w:r w:rsidRPr="00AA03ED">
              <w:rPr>
                <w:rFonts w:ascii="Times New Roman" w:eastAsia="Times New Roman" w:hAnsi="Times New Roman" w:cs="Times New Roman"/>
                <w:color w:val="000000"/>
                <w:sz w:val="22"/>
                <w:szCs w:val="22"/>
                <w:lang w:eastAsia="en-US"/>
              </w:rPr>
              <w:t>S</w:t>
            </w:r>
          </w:p>
        </w:tc>
        <w:tc>
          <w:tcPr>
            <w:tcW w:w="960" w:type="dxa"/>
            <w:shd w:val="clear" w:color="000000" w:fill="A9D08E"/>
            <w:noWrap/>
            <w:vAlign w:val="bottom"/>
            <w:hideMark/>
          </w:tcPr>
          <w:p w14:paraId="2FF597E1" w14:textId="77777777"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0.1247</w:t>
            </w:r>
          </w:p>
        </w:tc>
        <w:tc>
          <w:tcPr>
            <w:tcW w:w="960" w:type="dxa"/>
            <w:shd w:val="clear" w:color="auto" w:fill="auto"/>
            <w:noWrap/>
            <w:vAlign w:val="bottom"/>
            <w:hideMark/>
          </w:tcPr>
          <w:p w14:paraId="7BD04EFA" w14:textId="77777777"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0.1275</w:t>
            </w:r>
          </w:p>
        </w:tc>
        <w:tc>
          <w:tcPr>
            <w:tcW w:w="960" w:type="dxa"/>
            <w:shd w:val="clear" w:color="auto" w:fill="auto"/>
            <w:noWrap/>
            <w:vAlign w:val="bottom"/>
            <w:hideMark/>
          </w:tcPr>
          <w:p w14:paraId="0172CE86" w14:textId="77777777"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0.129</w:t>
            </w:r>
            <w:r>
              <w:rPr>
                <w:rFonts w:ascii="Times New Roman" w:eastAsia="Times New Roman" w:hAnsi="Times New Roman" w:cs="Times New Roman"/>
                <w:color w:val="000000"/>
                <w:sz w:val="22"/>
                <w:szCs w:val="22"/>
                <w:lang w:eastAsia="en-US"/>
              </w:rPr>
              <w:t>0</w:t>
            </w:r>
          </w:p>
        </w:tc>
        <w:tc>
          <w:tcPr>
            <w:tcW w:w="960" w:type="dxa"/>
            <w:shd w:val="clear" w:color="auto" w:fill="auto"/>
            <w:noWrap/>
            <w:vAlign w:val="bottom"/>
            <w:hideMark/>
          </w:tcPr>
          <w:p w14:paraId="2C69AE57" w14:textId="77777777"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0.1327</w:t>
            </w:r>
          </w:p>
        </w:tc>
        <w:tc>
          <w:tcPr>
            <w:tcW w:w="960" w:type="dxa"/>
            <w:shd w:val="clear" w:color="000000" w:fill="F4B084"/>
            <w:noWrap/>
            <w:vAlign w:val="bottom"/>
            <w:hideMark/>
          </w:tcPr>
          <w:p w14:paraId="6D521A44" w14:textId="77777777"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0.1347</w:t>
            </w:r>
          </w:p>
        </w:tc>
      </w:tr>
      <w:tr w:rsidR="00F97CC6" w:rsidRPr="00AA03ED" w14:paraId="142C6B1C" w14:textId="77777777" w:rsidTr="008B5496">
        <w:trPr>
          <w:trHeight w:val="288"/>
        </w:trPr>
        <w:tc>
          <w:tcPr>
            <w:tcW w:w="3830" w:type="dxa"/>
            <w:shd w:val="clear" w:color="auto" w:fill="auto"/>
            <w:noWrap/>
            <w:vAlign w:val="bottom"/>
            <w:hideMark/>
          </w:tcPr>
          <w:p w14:paraId="3CE17A71" w14:textId="77777777" w:rsidR="00F97CC6" w:rsidRPr="00AA03ED" w:rsidRDefault="00F97CC6" w:rsidP="008B5496">
            <w:pPr>
              <w:spacing w:line="240" w:lineRule="auto"/>
              <w:ind w:firstLine="0"/>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Number of Properties</w:t>
            </w:r>
          </w:p>
        </w:tc>
        <w:tc>
          <w:tcPr>
            <w:tcW w:w="960" w:type="dxa"/>
            <w:shd w:val="clear" w:color="auto" w:fill="auto"/>
            <w:noWrap/>
            <w:vAlign w:val="bottom"/>
            <w:hideMark/>
          </w:tcPr>
          <w:p w14:paraId="31230B15" w14:textId="77777777"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28,075</w:t>
            </w:r>
          </w:p>
        </w:tc>
        <w:tc>
          <w:tcPr>
            <w:tcW w:w="960" w:type="dxa"/>
            <w:shd w:val="clear" w:color="auto" w:fill="auto"/>
            <w:noWrap/>
            <w:vAlign w:val="bottom"/>
            <w:hideMark/>
          </w:tcPr>
          <w:p w14:paraId="286D00CB" w14:textId="77777777"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31,536</w:t>
            </w:r>
          </w:p>
        </w:tc>
        <w:tc>
          <w:tcPr>
            <w:tcW w:w="960" w:type="dxa"/>
            <w:shd w:val="clear" w:color="auto" w:fill="auto"/>
            <w:noWrap/>
            <w:vAlign w:val="bottom"/>
            <w:hideMark/>
          </w:tcPr>
          <w:p w14:paraId="78C42F41" w14:textId="77777777"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31,782</w:t>
            </w:r>
          </w:p>
        </w:tc>
        <w:tc>
          <w:tcPr>
            <w:tcW w:w="960" w:type="dxa"/>
            <w:shd w:val="clear" w:color="auto" w:fill="auto"/>
            <w:noWrap/>
            <w:vAlign w:val="bottom"/>
            <w:hideMark/>
          </w:tcPr>
          <w:p w14:paraId="1955C3B5" w14:textId="77777777"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21,069</w:t>
            </w:r>
          </w:p>
        </w:tc>
        <w:tc>
          <w:tcPr>
            <w:tcW w:w="960" w:type="dxa"/>
            <w:shd w:val="clear" w:color="auto" w:fill="auto"/>
            <w:noWrap/>
            <w:vAlign w:val="bottom"/>
            <w:hideMark/>
          </w:tcPr>
          <w:p w14:paraId="0A41AA3C" w14:textId="77777777"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30,233</w:t>
            </w:r>
          </w:p>
        </w:tc>
      </w:tr>
      <w:tr w:rsidR="00F97CC6" w:rsidRPr="00AA03ED" w14:paraId="1C7B9B88" w14:textId="77777777" w:rsidTr="008B5496">
        <w:trPr>
          <w:trHeight w:val="288"/>
        </w:trPr>
        <w:tc>
          <w:tcPr>
            <w:tcW w:w="3830" w:type="dxa"/>
            <w:shd w:val="clear" w:color="auto" w:fill="auto"/>
            <w:noWrap/>
            <w:vAlign w:val="bottom"/>
            <w:hideMark/>
          </w:tcPr>
          <w:p w14:paraId="0715C434" w14:textId="77777777" w:rsidR="00F97CC6" w:rsidRPr="00AA03ED" w:rsidRDefault="00F97CC6" w:rsidP="008B5496">
            <w:pPr>
              <w:spacing w:line="240" w:lineRule="auto"/>
              <w:ind w:firstLine="0"/>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Mean Percentage Sales Error</w:t>
            </w:r>
          </w:p>
        </w:tc>
        <w:tc>
          <w:tcPr>
            <w:tcW w:w="960" w:type="dxa"/>
            <w:shd w:val="clear" w:color="auto" w:fill="auto"/>
            <w:noWrap/>
            <w:vAlign w:val="bottom"/>
            <w:hideMark/>
          </w:tcPr>
          <w:p w14:paraId="6914A6C0" w14:textId="4DF1BBAD"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-0.1</w:t>
            </w:r>
          </w:p>
        </w:tc>
        <w:tc>
          <w:tcPr>
            <w:tcW w:w="960" w:type="dxa"/>
            <w:shd w:val="clear" w:color="000000" w:fill="A9D08E"/>
            <w:noWrap/>
            <w:vAlign w:val="bottom"/>
            <w:hideMark/>
          </w:tcPr>
          <w:p w14:paraId="584E05DD" w14:textId="6F07B5C3"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0.0</w:t>
            </w:r>
          </w:p>
        </w:tc>
        <w:tc>
          <w:tcPr>
            <w:tcW w:w="960" w:type="dxa"/>
            <w:shd w:val="clear" w:color="auto" w:fill="auto"/>
            <w:noWrap/>
            <w:vAlign w:val="bottom"/>
            <w:hideMark/>
          </w:tcPr>
          <w:p w14:paraId="4443E1A0" w14:textId="15D4E4C4"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0.1</w:t>
            </w:r>
          </w:p>
        </w:tc>
        <w:tc>
          <w:tcPr>
            <w:tcW w:w="960" w:type="dxa"/>
            <w:shd w:val="clear" w:color="000000" w:fill="F4B084"/>
            <w:noWrap/>
            <w:vAlign w:val="bottom"/>
            <w:hideMark/>
          </w:tcPr>
          <w:p w14:paraId="7B339801" w14:textId="16EAE236"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-0.5</w:t>
            </w:r>
          </w:p>
        </w:tc>
        <w:tc>
          <w:tcPr>
            <w:tcW w:w="960" w:type="dxa"/>
            <w:shd w:val="clear" w:color="auto" w:fill="auto"/>
            <w:noWrap/>
            <w:vAlign w:val="bottom"/>
            <w:hideMark/>
          </w:tcPr>
          <w:p w14:paraId="055B5940" w14:textId="4BF4EDA2"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0.1</w:t>
            </w:r>
          </w:p>
        </w:tc>
      </w:tr>
      <w:tr w:rsidR="00F97CC6" w:rsidRPr="00AA03ED" w14:paraId="11F699CA" w14:textId="77777777" w:rsidTr="008B5496">
        <w:trPr>
          <w:trHeight w:val="288"/>
        </w:trPr>
        <w:tc>
          <w:tcPr>
            <w:tcW w:w="3830" w:type="dxa"/>
            <w:shd w:val="clear" w:color="auto" w:fill="auto"/>
            <w:noWrap/>
            <w:vAlign w:val="bottom"/>
            <w:hideMark/>
          </w:tcPr>
          <w:p w14:paraId="4D0A7B7C" w14:textId="77777777" w:rsidR="00F97CC6" w:rsidRPr="00AA03ED" w:rsidRDefault="00F97CC6" w:rsidP="008B5496">
            <w:pPr>
              <w:spacing w:line="240" w:lineRule="auto"/>
              <w:ind w:firstLine="0"/>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Median Percentage Sales Error</w:t>
            </w:r>
          </w:p>
        </w:tc>
        <w:tc>
          <w:tcPr>
            <w:tcW w:w="960" w:type="dxa"/>
            <w:shd w:val="clear" w:color="000000" w:fill="A9D08E"/>
            <w:noWrap/>
            <w:vAlign w:val="bottom"/>
            <w:hideMark/>
          </w:tcPr>
          <w:p w14:paraId="26301E0A" w14:textId="4DB9B875"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0.2</w:t>
            </w:r>
          </w:p>
        </w:tc>
        <w:tc>
          <w:tcPr>
            <w:tcW w:w="960" w:type="dxa"/>
            <w:shd w:val="clear" w:color="auto" w:fill="auto"/>
            <w:noWrap/>
            <w:vAlign w:val="bottom"/>
            <w:hideMark/>
          </w:tcPr>
          <w:p w14:paraId="1EFD1EE1" w14:textId="07915F75"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0.3</w:t>
            </w:r>
          </w:p>
        </w:tc>
        <w:tc>
          <w:tcPr>
            <w:tcW w:w="960" w:type="dxa"/>
            <w:shd w:val="clear" w:color="000000" w:fill="F4B084"/>
            <w:noWrap/>
            <w:vAlign w:val="bottom"/>
            <w:hideMark/>
          </w:tcPr>
          <w:p w14:paraId="6F966EE2" w14:textId="2358EE79"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0.4</w:t>
            </w:r>
          </w:p>
        </w:tc>
        <w:tc>
          <w:tcPr>
            <w:tcW w:w="960" w:type="dxa"/>
            <w:shd w:val="clear" w:color="000000" w:fill="A9D08E"/>
            <w:noWrap/>
            <w:vAlign w:val="bottom"/>
            <w:hideMark/>
          </w:tcPr>
          <w:p w14:paraId="7928C970" w14:textId="0E4D4CA7"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-0.2</w:t>
            </w:r>
          </w:p>
        </w:tc>
        <w:tc>
          <w:tcPr>
            <w:tcW w:w="960" w:type="dxa"/>
            <w:shd w:val="clear" w:color="000000" w:fill="F4B084"/>
            <w:noWrap/>
            <w:vAlign w:val="bottom"/>
            <w:hideMark/>
          </w:tcPr>
          <w:p w14:paraId="2CC4B8E9" w14:textId="46824C41"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0.4</w:t>
            </w:r>
          </w:p>
        </w:tc>
      </w:tr>
      <w:tr w:rsidR="00F97CC6" w:rsidRPr="00AA03ED" w14:paraId="79410D59" w14:textId="77777777" w:rsidTr="008B5496">
        <w:trPr>
          <w:trHeight w:val="288"/>
        </w:trPr>
        <w:tc>
          <w:tcPr>
            <w:tcW w:w="3830" w:type="dxa"/>
            <w:shd w:val="clear" w:color="auto" w:fill="auto"/>
            <w:noWrap/>
            <w:vAlign w:val="bottom"/>
            <w:hideMark/>
          </w:tcPr>
          <w:p w14:paraId="3C769760" w14:textId="77777777" w:rsidR="00F97CC6" w:rsidRPr="00AA03ED" w:rsidRDefault="00F97CC6" w:rsidP="008B5496">
            <w:pPr>
              <w:spacing w:line="240" w:lineRule="auto"/>
              <w:ind w:firstLine="0"/>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Mean Absolute Percentage Error</w:t>
            </w:r>
          </w:p>
        </w:tc>
        <w:tc>
          <w:tcPr>
            <w:tcW w:w="960" w:type="dxa"/>
            <w:shd w:val="clear" w:color="auto" w:fill="auto"/>
            <w:noWrap/>
            <w:vAlign w:val="bottom"/>
            <w:hideMark/>
          </w:tcPr>
          <w:p w14:paraId="2C9A122C" w14:textId="68E64DD2"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2.6</w:t>
            </w:r>
          </w:p>
        </w:tc>
        <w:tc>
          <w:tcPr>
            <w:tcW w:w="960" w:type="dxa"/>
            <w:shd w:val="clear" w:color="auto" w:fill="auto"/>
            <w:noWrap/>
            <w:vAlign w:val="bottom"/>
            <w:hideMark/>
          </w:tcPr>
          <w:p w14:paraId="2DB7E2B9" w14:textId="2BDE3B30"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2.7</w:t>
            </w:r>
          </w:p>
        </w:tc>
        <w:tc>
          <w:tcPr>
            <w:tcW w:w="960" w:type="dxa"/>
            <w:shd w:val="clear" w:color="auto" w:fill="auto"/>
            <w:noWrap/>
            <w:vAlign w:val="bottom"/>
            <w:hideMark/>
          </w:tcPr>
          <w:p w14:paraId="0281AAA7" w14:textId="25C1656F"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2.8</w:t>
            </w:r>
          </w:p>
        </w:tc>
        <w:tc>
          <w:tcPr>
            <w:tcW w:w="960" w:type="dxa"/>
            <w:shd w:val="clear" w:color="000000" w:fill="A9D08E"/>
            <w:noWrap/>
            <w:vAlign w:val="bottom"/>
            <w:hideMark/>
          </w:tcPr>
          <w:p w14:paraId="437C7B2B" w14:textId="0FB42C30"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2.4</w:t>
            </w:r>
          </w:p>
        </w:tc>
        <w:tc>
          <w:tcPr>
            <w:tcW w:w="960" w:type="dxa"/>
            <w:shd w:val="clear" w:color="000000" w:fill="F4B084"/>
            <w:noWrap/>
            <w:vAlign w:val="bottom"/>
            <w:hideMark/>
          </w:tcPr>
          <w:p w14:paraId="198E0ACD" w14:textId="0E0FE75C"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2.9</w:t>
            </w:r>
          </w:p>
        </w:tc>
      </w:tr>
      <w:tr w:rsidR="00F97CC6" w:rsidRPr="00AA03ED" w14:paraId="7C636DC4" w14:textId="77777777" w:rsidTr="008B5496">
        <w:trPr>
          <w:trHeight w:val="288"/>
        </w:trPr>
        <w:tc>
          <w:tcPr>
            <w:tcW w:w="3830" w:type="dxa"/>
            <w:shd w:val="clear" w:color="auto" w:fill="auto"/>
            <w:noWrap/>
            <w:vAlign w:val="bottom"/>
            <w:hideMark/>
          </w:tcPr>
          <w:p w14:paraId="4FA9F5FC" w14:textId="77777777" w:rsidR="00F97CC6" w:rsidRPr="00AA03ED" w:rsidRDefault="00F97CC6" w:rsidP="008B5496">
            <w:pPr>
              <w:spacing w:line="240" w:lineRule="auto"/>
              <w:ind w:firstLine="0"/>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Median Absolute Percent Error (MAPE)</w:t>
            </w:r>
          </w:p>
        </w:tc>
        <w:tc>
          <w:tcPr>
            <w:tcW w:w="960" w:type="dxa"/>
            <w:shd w:val="clear" w:color="000000" w:fill="F4B084"/>
            <w:noWrap/>
            <w:vAlign w:val="bottom"/>
            <w:hideMark/>
          </w:tcPr>
          <w:p w14:paraId="464E98B1" w14:textId="66447204"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1.4</w:t>
            </w:r>
          </w:p>
        </w:tc>
        <w:tc>
          <w:tcPr>
            <w:tcW w:w="960" w:type="dxa"/>
            <w:shd w:val="clear" w:color="000000" w:fill="F4B084"/>
            <w:noWrap/>
            <w:vAlign w:val="bottom"/>
            <w:hideMark/>
          </w:tcPr>
          <w:p w14:paraId="50449777" w14:textId="77777777"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1.4%</w:t>
            </w:r>
          </w:p>
        </w:tc>
        <w:tc>
          <w:tcPr>
            <w:tcW w:w="960" w:type="dxa"/>
            <w:shd w:val="clear" w:color="000000" w:fill="F4B084"/>
            <w:noWrap/>
            <w:vAlign w:val="bottom"/>
            <w:hideMark/>
          </w:tcPr>
          <w:p w14:paraId="72738FE9" w14:textId="075D2620"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1.4</w:t>
            </w:r>
          </w:p>
        </w:tc>
        <w:tc>
          <w:tcPr>
            <w:tcW w:w="960" w:type="dxa"/>
            <w:shd w:val="clear" w:color="000000" w:fill="F4B084"/>
            <w:noWrap/>
            <w:vAlign w:val="bottom"/>
            <w:hideMark/>
          </w:tcPr>
          <w:p w14:paraId="5664DC1F" w14:textId="132B7790"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1.4</w:t>
            </w:r>
          </w:p>
        </w:tc>
        <w:tc>
          <w:tcPr>
            <w:tcW w:w="960" w:type="dxa"/>
            <w:shd w:val="clear" w:color="000000" w:fill="A9D08E"/>
            <w:noWrap/>
            <w:vAlign w:val="bottom"/>
            <w:hideMark/>
          </w:tcPr>
          <w:p w14:paraId="765D827A" w14:textId="05967934"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1.3</w:t>
            </w:r>
          </w:p>
        </w:tc>
      </w:tr>
      <w:tr w:rsidR="00F97CC6" w:rsidRPr="00AA03ED" w14:paraId="02FAE3EB" w14:textId="77777777" w:rsidTr="008B5496">
        <w:trPr>
          <w:trHeight w:val="288"/>
        </w:trPr>
        <w:tc>
          <w:tcPr>
            <w:tcW w:w="3830" w:type="dxa"/>
            <w:shd w:val="clear" w:color="auto" w:fill="auto"/>
            <w:noWrap/>
            <w:vAlign w:val="bottom"/>
            <w:hideMark/>
          </w:tcPr>
          <w:p w14:paraId="0D76E454" w14:textId="43075B67" w:rsidR="00F97CC6" w:rsidRPr="00AA03ED" w:rsidRDefault="00F51FA4" w:rsidP="008B5496">
            <w:pPr>
              <w:spacing w:line="240" w:lineRule="auto"/>
              <w:ind w:firstLine="0"/>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Observed Standard Deviation</w:t>
            </w:r>
          </w:p>
        </w:tc>
        <w:tc>
          <w:tcPr>
            <w:tcW w:w="960" w:type="dxa"/>
            <w:shd w:val="clear" w:color="auto" w:fill="auto"/>
            <w:noWrap/>
            <w:vAlign w:val="bottom"/>
            <w:hideMark/>
          </w:tcPr>
          <w:p w14:paraId="25222230" w14:textId="5C59AAF9"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5.5</w:t>
            </w:r>
          </w:p>
        </w:tc>
        <w:tc>
          <w:tcPr>
            <w:tcW w:w="960" w:type="dxa"/>
            <w:shd w:val="clear" w:color="auto" w:fill="auto"/>
            <w:noWrap/>
            <w:vAlign w:val="bottom"/>
            <w:hideMark/>
          </w:tcPr>
          <w:p w14:paraId="298663B4" w14:textId="7700F642"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5.7</w:t>
            </w:r>
          </w:p>
        </w:tc>
        <w:tc>
          <w:tcPr>
            <w:tcW w:w="960" w:type="dxa"/>
            <w:shd w:val="clear" w:color="auto" w:fill="auto"/>
            <w:noWrap/>
            <w:vAlign w:val="bottom"/>
            <w:hideMark/>
          </w:tcPr>
          <w:p w14:paraId="23ABC92F" w14:textId="7AF44014"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5.8</w:t>
            </w:r>
          </w:p>
        </w:tc>
        <w:tc>
          <w:tcPr>
            <w:tcW w:w="960" w:type="dxa"/>
            <w:shd w:val="clear" w:color="000000" w:fill="A9D08E"/>
            <w:noWrap/>
            <w:vAlign w:val="bottom"/>
            <w:hideMark/>
          </w:tcPr>
          <w:p w14:paraId="1051CCEB" w14:textId="074B3415"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5.0</w:t>
            </w:r>
          </w:p>
        </w:tc>
        <w:tc>
          <w:tcPr>
            <w:tcW w:w="960" w:type="dxa"/>
            <w:shd w:val="clear" w:color="000000" w:fill="F4B084"/>
            <w:noWrap/>
            <w:vAlign w:val="bottom"/>
            <w:hideMark/>
          </w:tcPr>
          <w:p w14:paraId="2D2F19BB" w14:textId="6B19C3FF"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6.1</w:t>
            </w:r>
          </w:p>
        </w:tc>
      </w:tr>
      <w:tr w:rsidR="00F97CC6" w:rsidRPr="00AA03ED" w14:paraId="23CB7D9A" w14:textId="77777777" w:rsidTr="008B5496">
        <w:trPr>
          <w:trHeight w:val="288"/>
        </w:trPr>
        <w:tc>
          <w:tcPr>
            <w:tcW w:w="3830" w:type="dxa"/>
            <w:shd w:val="clear" w:color="auto" w:fill="auto"/>
            <w:noWrap/>
            <w:vAlign w:val="bottom"/>
            <w:hideMark/>
          </w:tcPr>
          <w:p w14:paraId="6E065EB3" w14:textId="77777777" w:rsidR="00F97CC6" w:rsidRPr="00AA03ED" w:rsidRDefault="00F97CC6" w:rsidP="008B5496">
            <w:pPr>
              <w:spacing w:line="240" w:lineRule="auto"/>
              <w:ind w:firstLine="0"/>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 xml:space="preserve"> +/- 1 FSD</w:t>
            </w:r>
          </w:p>
        </w:tc>
        <w:tc>
          <w:tcPr>
            <w:tcW w:w="960" w:type="dxa"/>
            <w:shd w:val="clear" w:color="auto" w:fill="auto"/>
            <w:noWrap/>
            <w:vAlign w:val="bottom"/>
            <w:hideMark/>
          </w:tcPr>
          <w:p w14:paraId="056BD8F1" w14:textId="6AD6DF8A"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85.3</w:t>
            </w:r>
          </w:p>
        </w:tc>
        <w:tc>
          <w:tcPr>
            <w:tcW w:w="960" w:type="dxa"/>
            <w:shd w:val="clear" w:color="auto" w:fill="auto"/>
            <w:noWrap/>
            <w:vAlign w:val="bottom"/>
            <w:hideMark/>
          </w:tcPr>
          <w:p w14:paraId="156E4CED" w14:textId="0FD9A6BC"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89.7</w:t>
            </w:r>
          </w:p>
        </w:tc>
        <w:tc>
          <w:tcPr>
            <w:tcW w:w="960" w:type="dxa"/>
            <w:shd w:val="clear" w:color="auto" w:fill="auto"/>
            <w:noWrap/>
            <w:vAlign w:val="bottom"/>
            <w:hideMark/>
          </w:tcPr>
          <w:p w14:paraId="4389DC7D" w14:textId="1B8C4217"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92.3</w:t>
            </w:r>
          </w:p>
        </w:tc>
        <w:tc>
          <w:tcPr>
            <w:tcW w:w="960" w:type="dxa"/>
            <w:shd w:val="clear" w:color="000000" w:fill="F4B084"/>
            <w:noWrap/>
            <w:vAlign w:val="bottom"/>
            <w:hideMark/>
          </w:tcPr>
          <w:p w14:paraId="1ADC90B0" w14:textId="78B4619B"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76.9</w:t>
            </w:r>
          </w:p>
        </w:tc>
        <w:tc>
          <w:tcPr>
            <w:tcW w:w="960" w:type="dxa"/>
            <w:shd w:val="clear" w:color="000000" w:fill="A9D08E"/>
            <w:noWrap/>
            <w:vAlign w:val="bottom"/>
            <w:hideMark/>
          </w:tcPr>
          <w:p w14:paraId="1AA76B49" w14:textId="3B116D79"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93.0</w:t>
            </w:r>
          </w:p>
        </w:tc>
      </w:tr>
      <w:tr w:rsidR="00F97CC6" w:rsidRPr="00AA03ED" w14:paraId="5125FADC" w14:textId="77777777" w:rsidTr="008B5496">
        <w:trPr>
          <w:trHeight w:val="288"/>
        </w:trPr>
        <w:tc>
          <w:tcPr>
            <w:tcW w:w="3830" w:type="dxa"/>
            <w:shd w:val="clear" w:color="auto" w:fill="auto"/>
            <w:noWrap/>
            <w:vAlign w:val="bottom"/>
            <w:hideMark/>
          </w:tcPr>
          <w:p w14:paraId="509E4B9F" w14:textId="77777777" w:rsidR="00F97CC6" w:rsidRPr="00AA03ED" w:rsidRDefault="00F97CC6" w:rsidP="008B5496">
            <w:pPr>
              <w:spacing w:line="240" w:lineRule="auto"/>
              <w:ind w:firstLine="0"/>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Failure Rate at +/- 5% (FR5)</w:t>
            </w:r>
          </w:p>
        </w:tc>
        <w:tc>
          <w:tcPr>
            <w:tcW w:w="960" w:type="dxa"/>
            <w:shd w:val="clear" w:color="auto" w:fill="auto"/>
            <w:noWrap/>
            <w:vAlign w:val="bottom"/>
            <w:hideMark/>
          </w:tcPr>
          <w:p w14:paraId="63C7E1F6" w14:textId="504A940A"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8.6</w:t>
            </w:r>
          </w:p>
        </w:tc>
        <w:tc>
          <w:tcPr>
            <w:tcW w:w="960" w:type="dxa"/>
            <w:shd w:val="clear" w:color="auto" w:fill="auto"/>
            <w:noWrap/>
            <w:vAlign w:val="bottom"/>
            <w:hideMark/>
          </w:tcPr>
          <w:p w14:paraId="063473FC" w14:textId="2473F70E"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10.3</w:t>
            </w:r>
          </w:p>
        </w:tc>
        <w:tc>
          <w:tcPr>
            <w:tcW w:w="960" w:type="dxa"/>
            <w:shd w:val="clear" w:color="auto" w:fill="auto"/>
            <w:noWrap/>
            <w:vAlign w:val="bottom"/>
            <w:hideMark/>
          </w:tcPr>
          <w:p w14:paraId="25524751" w14:textId="6ED02320"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11.0</w:t>
            </w:r>
          </w:p>
        </w:tc>
        <w:tc>
          <w:tcPr>
            <w:tcW w:w="960" w:type="dxa"/>
            <w:shd w:val="clear" w:color="000000" w:fill="A9D08E"/>
            <w:noWrap/>
            <w:vAlign w:val="bottom"/>
            <w:hideMark/>
          </w:tcPr>
          <w:p w14:paraId="6086ADD0" w14:textId="26A17FAB"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7.3</w:t>
            </w:r>
          </w:p>
        </w:tc>
        <w:tc>
          <w:tcPr>
            <w:tcW w:w="960" w:type="dxa"/>
            <w:shd w:val="clear" w:color="000000" w:fill="F4B084"/>
            <w:noWrap/>
            <w:vAlign w:val="bottom"/>
            <w:hideMark/>
          </w:tcPr>
          <w:p w14:paraId="29C6F807" w14:textId="1CAB8C41"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11.7</w:t>
            </w:r>
          </w:p>
        </w:tc>
      </w:tr>
      <w:tr w:rsidR="00F97CC6" w:rsidRPr="00AA03ED" w14:paraId="56AD8A0F" w14:textId="77777777" w:rsidTr="008B5496">
        <w:trPr>
          <w:trHeight w:val="288"/>
        </w:trPr>
        <w:tc>
          <w:tcPr>
            <w:tcW w:w="3830" w:type="dxa"/>
            <w:shd w:val="clear" w:color="auto" w:fill="auto"/>
            <w:noWrap/>
            <w:vAlign w:val="bottom"/>
            <w:hideMark/>
          </w:tcPr>
          <w:p w14:paraId="3915AD5A" w14:textId="77777777" w:rsidR="00F97CC6" w:rsidRPr="00AA03ED" w:rsidRDefault="00F97CC6" w:rsidP="008B5496">
            <w:pPr>
              <w:spacing w:line="240" w:lineRule="auto"/>
              <w:ind w:firstLine="0"/>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Failure Rate at +/- 10% (FR10)</w:t>
            </w:r>
          </w:p>
        </w:tc>
        <w:tc>
          <w:tcPr>
            <w:tcW w:w="960" w:type="dxa"/>
            <w:shd w:val="clear" w:color="auto" w:fill="auto"/>
            <w:noWrap/>
            <w:vAlign w:val="bottom"/>
            <w:hideMark/>
          </w:tcPr>
          <w:p w14:paraId="0FA830F6" w14:textId="581E147B"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3.5</w:t>
            </w:r>
          </w:p>
        </w:tc>
        <w:tc>
          <w:tcPr>
            <w:tcW w:w="960" w:type="dxa"/>
            <w:shd w:val="clear" w:color="auto" w:fill="auto"/>
            <w:noWrap/>
            <w:vAlign w:val="bottom"/>
            <w:hideMark/>
          </w:tcPr>
          <w:p w14:paraId="426B09FC" w14:textId="4F5FACC6"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4.0</w:t>
            </w:r>
          </w:p>
        </w:tc>
        <w:tc>
          <w:tcPr>
            <w:tcW w:w="960" w:type="dxa"/>
            <w:shd w:val="clear" w:color="auto" w:fill="auto"/>
            <w:noWrap/>
            <w:vAlign w:val="bottom"/>
            <w:hideMark/>
          </w:tcPr>
          <w:p w14:paraId="1F6AE05D" w14:textId="41E07A5C"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4.4</w:t>
            </w:r>
          </w:p>
        </w:tc>
        <w:tc>
          <w:tcPr>
            <w:tcW w:w="960" w:type="dxa"/>
            <w:shd w:val="clear" w:color="000000" w:fill="A9D08E"/>
            <w:noWrap/>
            <w:vAlign w:val="bottom"/>
            <w:hideMark/>
          </w:tcPr>
          <w:p w14:paraId="622E2520" w14:textId="7C3057E0"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3.1</w:t>
            </w:r>
          </w:p>
        </w:tc>
        <w:tc>
          <w:tcPr>
            <w:tcW w:w="960" w:type="dxa"/>
            <w:shd w:val="clear" w:color="000000" w:fill="F4B084"/>
            <w:noWrap/>
            <w:vAlign w:val="bottom"/>
            <w:hideMark/>
          </w:tcPr>
          <w:p w14:paraId="1F53388F" w14:textId="602D788A"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4.8</w:t>
            </w:r>
          </w:p>
        </w:tc>
      </w:tr>
      <w:tr w:rsidR="00F97CC6" w:rsidRPr="00AA03ED" w14:paraId="41BBBB5A" w14:textId="77777777" w:rsidTr="008B5496">
        <w:trPr>
          <w:trHeight w:val="288"/>
        </w:trPr>
        <w:tc>
          <w:tcPr>
            <w:tcW w:w="3830" w:type="dxa"/>
            <w:shd w:val="clear" w:color="auto" w:fill="auto"/>
            <w:noWrap/>
            <w:vAlign w:val="bottom"/>
            <w:hideMark/>
          </w:tcPr>
          <w:p w14:paraId="5A963F8F" w14:textId="77777777" w:rsidR="00F97CC6" w:rsidRPr="00AA03ED" w:rsidRDefault="00F97CC6" w:rsidP="008B5496">
            <w:pPr>
              <w:spacing w:line="240" w:lineRule="auto"/>
              <w:ind w:firstLine="0"/>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Failure Rate at +/- 15% (FR15)</w:t>
            </w:r>
          </w:p>
        </w:tc>
        <w:tc>
          <w:tcPr>
            <w:tcW w:w="960" w:type="dxa"/>
            <w:shd w:val="clear" w:color="auto" w:fill="auto"/>
            <w:noWrap/>
            <w:vAlign w:val="bottom"/>
            <w:hideMark/>
          </w:tcPr>
          <w:p w14:paraId="5111302F" w14:textId="15048C27"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2.4</w:t>
            </w:r>
          </w:p>
        </w:tc>
        <w:tc>
          <w:tcPr>
            <w:tcW w:w="960" w:type="dxa"/>
            <w:shd w:val="clear" w:color="auto" w:fill="auto"/>
            <w:noWrap/>
            <w:vAlign w:val="bottom"/>
            <w:hideMark/>
          </w:tcPr>
          <w:p w14:paraId="1B724FBF" w14:textId="48D931FE"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2.6</w:t>
            </w:r>
          </w:p>
        </w:tc>
        <w:tc>
          <w:tcPr>
            <w:tcW w:w="960" w:type="dxa"/>
            <w:shd w:val="clear" w:color="auto" w:fill="auto"/>
            <w:noWrap/>
            <w:vAlign w:val="bottom"/>
            <w:hideMark/>
          </w:tcPr>
          <w:p w14:paraId="0B6A0F9B" w14:textId="5BC2FF73"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2.8</w:t>
            </w:r>
          </w:p>
        </w:tc>
        <w:tc>
          <w:tcPr>
            <w:tcW w:w="960" w:type="dxa"/>
            <w:shd w:val="clear" w:color="000000" w:fill="A9D08E"/>
            <w:noWrap/>
            <w:vAlign w:val="bottom"/>
            <w:hideMark/>
          </w:tcPr>
          <w:p w14:paraId="7EE57024" w14:textId="65A82A67"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2.1</w:t>
            </w:r>
          </w:p>
        </w:tc>
        <w:tc>
          <w:tcPr>
            <w:tcW w:w="960" w:type="dxa"/>
            <w:shd w:val="clear" w:color="000000" w:fill="F4B084"/>
            <w:noWrap/>
            <w:vAlign w:val="bottom"/>
            <w:hideMark/>
          </w:tcPr>
          <w:p w14:paraId="430C162E" w14:textId="4B763A0C"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3.0</w:t>
            </w:r>
          </w:p>
        </w:tc>
      </w:tr>
      <w:tr w:rsidR="00F97CC6" w:rsidRPr="00AA03ED" w14:paraId="581118F1" w14:textId="77777777" w:rsidTr="008B5496">
        <w:trPr>
          <w:trHeight w:val="288"/>
        </w:trPr>
        <w:tc>
          <w:tcPr>
            <w:tcW w:w="3830" w:type="dxa"/>
            <w:shd w:val="clear" w:color="auto" w:fill="auto"/>
            <w:noWrap/>
            <w:vAlign w:val="bottom"/>
            <w:hideMark/>
          </w:tcPr>
          <w:p w14:paraId="5A0F40F6" w14:textId="77777777" w:rsidR="00F97CC6" w:rsidRPr="00AA03ED" w:rsidRDefault="00F97CC6" w:rsidP="008B5496">
            <w:pPr>
              <w:spacing w:line="240" w:lineRule="auto"/>
              <w:ind w:firstLine="0"/>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Failure Rate at +/- 20% (FR20)</w:t>
            </w:r>
          </w:p>
        </w:tc>
        <w:tc>
          <w:tcPr>
            <w:tcW w:w="960" w:type="dxa"/>
            <w:shd w:val="clear" w:color="auto" w:fill="auto"/>
            <w:noWrap/>
            <w:vAlign w:val="bottom"/>
            <w:hideMark/>
          </w:tcPr>
          <w:p w14:paraId="163C1255" w14:textId="6A8162FF"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1.3</w:t>
            </w:r>
          </w:p>
        </w:tc>
        <w:tc>
          <w:tcPr>
            <w:tcW w:w="960" w:type="dxa"/>
            <w:shd w:val="clear" w:color="auto" w:fill="auto"/>
            <w:noWrap/>
            <w:vAlign w:val="bottom"/>
            <w:hideMark/>
          </w:tcPr>
          <w:p w14:paraId="19980F1D" w14:textId="6030BD40"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1.4</w:t>
            </w:r>
          </w:p>
        </w:tc>
        <w:tc>
          <w:tcPr>
            <w:tcW w:w="960" w:type="dxa"/>
            <w:shd w:val="clear" w:color="auto" w:fill="auto"/>
            <w:noWrap/>
            <w:vAlign w:val="bottom"/>
            <w:hideMark/>
          </w:tcPr>
          <w:p w14:paraId="798882E7" w14:textId="62CECB6C"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1.6</w:t>
            </w:r>
          </w:p>
        </w:tc>
        <w:tc>
          <w:tcPr>
            <w:tcW w:w="960" w:type="dxa"/>
            <w:shd w:val="clear" w:color="000000" w:fill="A9D08E"/>
            <w:noWrap/>
            <w:vAlign w:val="bottom"/>
            <w:hideMark/>
          </w:tcPr>
          <w:p w14:paraId="0512E10A" w14:textId="7F6F9F56"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1.2</w:t>
            </w:r>
          </w:p>
        </w:tc>
        <w:tc>
          <w:tcPr>
            <w:tcW w:w="960" w:type="dxa"/>
            <w:shd w:val="clear" w:color="000000" w:fill="F4B084"/>
            <w:noWrap/>
            <w:vAlign w:val="bottom"/>
            <w:hideMark/>
          </w:tcPr>
          <w:p w14:paraId="404FFFB2" w14:textId="119DB820"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1.7</w:t>
            </w:r>
          </w:p>
        </w:tc>
      </w:tr>
      <w:tr w:rsidR="00F97CC6" w:rsidRPr="00AA03ED" w14:paraId="7F6B6C42" w14:textId="77777777" w:rsidTr="008B5496">
        <w:trPr>
          <w:trHeight w:val="288"/>
        </w:trPr>
        <w:tc>
          <w:tcPr>
            <w:tcW w:w="3830" w:type="dxa"/>
            <w:shd w:val="clear" w:color="auto" w:fill="auto"/>
            <w:noWrap/>
            <w:vAlign w:val="bottom"/>
            <w:hideMark/>
          </w:tcPr>
          <w:p w14:paraId="22F6C81E" w14:textId="77777777" w:rsidR="00F97CC6" w:rsidRPr="00AA03ED" w:rsidRDefault="00F97CC6" w:rsidP="008B5496">
            <w:pPr>
              <w:spacing w:line="240" w:lineRule="auto"/>
              <w:ind w:firstLine="0"/>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Right Tail (RT20)</w:t>
            </w:r>
          </w:p>
        </w:tc>
        <w:tc>
          <w:tcPr>
            <w:tcW w:w="960" w:type="dxa"/>
            <w:shd w:val="clear" w:color="auto" w:fill="auto"/>
            <w:noWrap/>
            <w:vAlign w:val="bottom"/>
            <w:hideMark/>
          </w:tcPr>
          <w:p w14:paraId="7067F652" w14:textId="00BFBEA3"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0.7</w:t>
            </w:r>
          </w:p>
        </w:tc>
        <w:tc>
          <w:tcPr>
            <w:tcW w:w="960" w:type="dxa"/>
            <w:shd w:val="clear" w:color="auto" w:fill="auto"/>
            <w:noWrap/>
            <w:vAlign w:val="bottom"/>
            <w:hideMark/>
          </w:tcPr>
          <w:p w14:paraId="5F61964F" w14:textId="57011934"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0.9</w:t>
            </w:r>
          </w:p>
        </w:tc>
        <w:tc>
          <w:tcPr>
            <w:tcW w:w="960" w:type="dxa"/>
            <w:shd w:val="clear" w:color="auto" w:fill="auto"/>
            <w:noWrap/>
            <w:vAlign w:val="bottom"/>
            <w:hideMark/>
          </w:tcPr>
          <w:p w14:paraId="3DD02B8B" w14:textId="2EDE0823"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0.9</w:t>
            </w:r>
          </w:p>
        </w:tc>
        <w:tc>
          <w:tcPr>
            <w:tcW w:w="960" w:type="dxa"/>
            <w:shd w:val="clear" w:color="000000" w:fill="A9D08E"/>
            <w:noWrap/>
            <w:vAlign w:val="bottom"/>
            <w:hideMark/>
          </w:tcPr>
          <w:p w14:paraId="76233AFA" w14:textId="784091FC"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0.6</w:t>
            </w:r>
          </w:p>
        </w:tc>
        <w:tc>
          <w:tcPr>
            <w:tcW w:w="960" w:type="dxa"/>
            <w:shd w:val="clear" w:color="000000" w:fill="F4B084"/>
            <w:noWrap/>
            <w:vAlign w:val="bottom"/>
            <w:hideMark/>
          </w:tcPr>
          <w:p w14:paraId="409A6D99" w14:textId="6AAD6E54" w:rsidR="00F97CC6" w:rsidRPr="00AA03ED" w:rsidRDefault="00F97CC6" w:rsidP="008B5496">
            <w:pPr>
              <w:spacing w:line="240" w:lineRule="auto"/>
              <w:ind w:firstLine="0"/>
              <w:jc w:val="center"/>
              <w:rPr>
                <w:rFonts w:ascii="Times New Roman" w:eastAsia="Times New Roman" w:hAnsi="Times New Roman" w:cs="Times New Roman"/>
                <w:color w:val="000000"/>
                <w:sz w:val="22"/>
                <w:szCs w:val="22"/>
                <w:lang w:eastAsia="en-US"/>
              </w:rPr>
            </w:pPr>
            <w:r w:rsidRPr="00AA03ED">
              <w:rPr>
                <w:rFonts w:ascii="Times New Roman" w:eastAsia="Times New Roman" w:hAnsi="Times New Roman" w:cs="Times New Roman"/>
                <w:color w:val="000000"/>
                <w:sz w:val="22"/>
                <w:szCs w:val="22"/>
                <w:lang w:eastAsia="en-US"/>
              </w:rPr>
              <w:t>1.0</w:t>
            </w:r>
          </w:p>
        </w:tc>
      </w:tr>
    </w:tbl>
    <w:tbl>
      <w:tblPr>
        <w:tblpPr w:leftFromText="180" w:rightFromText="180" w:vertAnchor="text" w:horzAnchor="page" w:tblpX="5869" w:tblpY="264"/>
        <w:tblW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tblGrid>
      <w:tr w:rsidR="00F97CC6" w:rsidRPr="00113E26" w14:paraId="435C5865" w14:textId="77777777" w:rsidTr="008B5496">
        <w:trPr>
          <w:trHeight w:val="288"/>
        </w:trPr>
        <w:tc>
          <w:tcPr>
            <w:tcW w:w="2700" w:type="dxa"/>
            <w:shd w:val="clear" w:color="000000" w:fill="A9D08E"/>
            <w:noWrap/>
            <w:vAlign w:val="bottom"/>
            <w:hideMark/>
          </w:tcPr>
          <w:p w14:paraId="57250C79" w14:textId="77777777" w:rsidR="00F97CC6" w:rsidRPr="00113E26" w:rsidRDefault="00F97CC6" w:rsidP="008B5496">
            <w:pPr>
              <w:spacing w:line="240" w:lineRule="auto"/>
              <w:ind w:firstLine="0"/>
              <w:jc w:val="center"/>
              <w:rPr>
                <w:rFonts w:asciiTheme="majorHAnsi" w:eastAsia="Times New Roman" w:hAnsiTheme="majorHAnsi" w:cstheme="majorHAnsi"/>
                <w:color w:val="000000"/>
                <w:sz w:val="22"/>
                <w:szCs w:val="22"/>
                <w:lang w:eastAsia="en-US"/>
              </w:rPr>
            </w:pPr>
            <w:r w:rsidRPr="00113E26">
              <w:rPr>
                <w:rFonts w:asciiTheme="majorHAnsi" w:eastAsia="Times New Roman" w:hAnsiTheme="majorHAnsi" w:cstheme="majorHAnsi"/>
                <w:color w:val="000000"/>
                <w:sz w:val="22"/>
                <w:szCs w:val="22"/>
                <w:lang w:eastAsia="en-US"/>
              </w:rPr>
              <w:t>Best (among the</w:t>
            </w:r>
            <w:r>
              <w:rPr>
                <w:rFonts w:asciiTheme="majorHAnsi" w:eastAsia="Times New Roman" w:hAnsiTheme="majorHAnsi" w:cstheme="majorHAnsi"/>
                <w:color w:val="000000"/>
                <w:sz w:val="22"/>
                <w:szCs w:val="22"/>
                <w:lang w:eastAsia="en-US"/>
              </w:rPr>
              <w:t xml:space="preserve"> top</w:t>
            </w:r>
            <w:r w:rsidRPr="00113E26">
              <w:rPr>
                <w:rFonts w:asciiTheme="majorHAnsi" w:eastAsia="Times New Roman" w:hAnsiTheme="majorHAnsi" w:cstheme="majorHAnsi"/>
                <w:color w:val="000000"/>
                <w:sz w:val="22"/>
                <w:szCs w:val="22"/>
                <w:lang w:eastAsia="en-US"/>
              </w:rPr>
              <w:t xml:space="preserve"> five)</w:t>
            </w:r>
          </w:p>
        </w:tc>
      </w:tr>
      <w:tr w:rsidR="00F97CC6" w:rsidRPr="00113E26" w14:paraId="558E672C" w14:textId="77777777" w:rsidTr="008B5496">
        <w:trPr>
          <w:trHeight w:val="288"/>
        </w:trPr>
        <w:tc>
          <w:tcPr>
            <w:tcW w:w="2700" w:type="dxa"/>
            <w:shd w:val="clear" w:color="000000" w:fill="F4B084"/>
            <w:noWrap/>
            <w:vAlign w:val="bottom"/>
            <w:hideMark/>
          </w:tcPr>
          <w:p w14:paraId="48B7FDBF" w14:textId="77777777" w:rsidR="00F97CC6" w:rsidRPr="00113E26" w:rsidRDefault="00F97CC6" w:rsidP="008B5496">
            <w:pPr>
              <w:spacing w:line="240" w:lineRule="auto"/>
              <w:ind w:firstLine="0"/>
              <w:jc w:val="center"/>
              <w:rPr>
                <w:rFonts w:asciiTheme="majorHAnsi" w:eastAsia="Times New Roman" w:hAnsiTheme="majorHAnsi" w:cstheme="majorHAnsi"/>
                <w:color w:val="000000"/>
                <w:sz w:val="22"/>
                <w:szCs w:val="22"/>
                <w:lang w:eastAsia="en-US"/>
              </w:rPr>
            </w:pPr>
            <w:r w:rsidRPr="00113E26">
              <w:rPr>
                <w:rFonts w:asciiTheme="majorHAnsi" w:eastAsia="Times New Roman" w:hAnsiTheme="majorHAnsi" w:cstheme="majorHAnsi"/>
                <w:color w:val="000000"/>
                <w:sz w:val="22"/>
                <w:szCs w:val="22"/>
                <w:lang w:eastAsia="en-US"/>
              </w:rPr>
              <w:t xml:space="preserve">Worst (among the </w:t>
            </w:r>
            <w:r>
              <w:rPr>
                <w:rFonts w:asciiTheme="majorHAnsi" w:eastAsia="Times New Roman" w:hAnsiTheme="majorHAnsi" w:cstheme="majorHAnsi"/>
                <w:color w:val="000000"/>
                <w:sz w:val="22"/>
                <w:szCs w:val="22"/>
                <w:lang w:eastAsia="en-US"/>
              </w:rPr>
              <w:t xml:space="preserve">top </w:t>
            </w:r>
            <w:r w:rsidRPr="00113E26">
              <w:rPr>
                <w:rFonts w:asciiTheme="majorHAnsi" w:eastAsia="Times New Roman" w:hAnsiTheme="majorHAnsi" w:cstheme="majorHAnsi"/>
                <w:color w:val="000000"/>
                <w:sz w:val="22"/>
                <w:szCs w:val="22"/>
                <w:lang w:eastAsia="en-US"/>
              </w:rPr>
              <w:t>five)</w:t>
            </w:r>
          </w:p>
        </w:tc>
      </w:tr>
    </w:tbl>
    <w:p w14:paraId="42443206" w14:textId="77777777" w:rsidR="009D707E" w:rsidRDefault="009D707E" w:rsidP="00DE1DC1">
      <w:pPr>
        <w:spacing w:line="240" w:lineRule="auto"/>
        <w:ind w:firstLine="0"/>
        <w:rPr>
          <w:rFonts w:asciiTheme="majorHAnsi" w:hAnsiTheme="majorHAnsi" w:cstheme="majorHAnsi"/>
          <w:b/>
        </w:rPr>
      </w:pPr>
    </w:p>
    <w:p w14:paraId="24E8372F" w14:textId="77777777" w:rsidR="009D707E" w:rsidRDefault="009D707E" w:rsidP="00DE1DC1">
      <w:pPr>
        <w:spacing w:line="240" w:lineRule="auto"/>
        <w:ind w:firstLine="0"/>
        <w:rPr>
          <w:rFonts w:asciiTheme="majorHAnsi" w:hAnsiTheme="majorHAnsi" w:cstheme="majorHAnsi"/>
          <w:b/>
        </w:rPr>
      </w:pPr>
    </w:p>
    <w:p w14:paraId="57193DBC" w14:textId="77777777" w:rsidR="009D707E" w:rsidRDefault="009D707E" w:rsidP="00DE1DC1">
      <w:pPr>
        <w:spacing w:line="240" w:lineRule="auto"/>
        <w:ind w:firstLine="0"/>
        <w:rPr>
          <w:rFonts w:asciiTheme="majorHAnsi" w:hAnsiTheme="majorHAnsi" w:cstheme="majorHAnsi"/>
          <w:b/>
        </w:rPr>
      </w:pPr>
    </w:p>
    <w:p w14:paraId="17892575" w14:textId="77777777" w:rsidR="009D707E" w:rsidRDefault="009D707E" w:rsidP="00DE1DC1">
      <w:pPr>
        <w:spacing w:line="240" w:lineRule="auto"/>
        <w:ind w:firstLine="0"/>
        <w:rPr>
          <w:rFonts w:asciiTheme="majorHAnsi" w:hAnsiTheme="majorHAnsi" w:cstheme="majorHAnsi"/>
          <w:b/>
        </w:rPr>
      </w:pPr>
    </w:p>
    <w:p w14:paraId="4C053BC8" w14:textId="77777777" w:rsidR="009D707E" w:rsidRDefault="009D707E" w:rsidP="00DE1DC1">
      <w:pPr>
        <w:spacing w:line="240" w:lineRule="auto"/>
        <w:ind w:firstLine="0"/>
        <w:rPr>
          <w:rFonts w:asciiTheme="majorHAnsi" w:hAnsiTheme="majorHAnsi" w:cstheme="majorHAnsi"/>
          <w:b/>
        </w:rPr>
      </w:pPr>
    </w:p>
    <w:p w14:paraId="65DDBE4F" w14:textId="77777777" w:rsidR="009D707E" w:rsidRDefault="009D707E" w:rsidP="00DE1DC1">
      <w:pPr>
        <w:spacing w:line="240" w:lineRule="auto"/>
        <w:ind w:firstLine="0"/>
        <w:rPr>
          <w:rFonts w:asciiTheme="majorHAnsi" w:hAnsiTheme="majorHAnsi" w:cstheme="majorHAnsi"/>
          <w:b/>
        </w:rPr>
      </w:pPr>
    </w:p>
    <w:p w14:paraId="10DB8F53" w14:textId="77777777" w:rsidR="009D707E" w:rsidRDefault="009D707E" w:rsidP="00DE1DC1">
      <w:pPr>
        <w:spacing w:line="240" w:lineRule="auto"/>
        <w:ind w:firstLine="0"/>
        <w:rPr>
          <w:rFonts w:asciiTheme="majorHAnsi" w:hAnsiTheme="majorHAnsi" w:cstheme="majorHAnsi"/>
          <w:b/>
        </w:rPr>
      </w:pPr>
    </w:p>
    <w:p w14:paraId="342FB302" w14:textId="77777777" w:rsidR="009D707E" w:rsidRDefault="009D707E" w:rsidP="00DE1DC1">
      <w:pPr>
        <w:spacing w:line="240" w:lineRule="auto"/>
        <w:ind w:firstLine="0"/>
        <w:rPr>
          <w:rFonts w:asciiTheme="majorHAnsi" w:hAnsiTheme="majorHAnsi" w:cstheme="majorHAnsi"/>
          <w:b/>
        </w:rPr>
      </w:pPr>
    </w:p>
    <w:p w14:paraId="1C6D9049" w14:textId="77777777" w:rsidR="009D707E" w:rsidRDefault="009D707E" w:rsidP="00DE1DC1">
      <w:pPr>
        <w:spacing w:line="240" w:lineRule="auto"/>
        <w:ind w:firstLine="0"/>
        <w:rPr>
          <w:rFonts w:asciiTheme="majorHAnsi" w:hAnsiTheme="majorHAnsi" w:cstheme="majorHAnsi"/>
          <w:b/>
        </w:rPr>
      </w:pPr>
    </w:p>
    <w:p w14:paraId="1E11641E" w14:textId="77777777" w:rsidR="009D707E" w:rsidRDefault="009D707E" w:rsidP="00DE1DC1">
      <w:pPr>
        <w:spacing w:line="240" w:lineRule="auto"/>
        <w:ind w:firstLine="0"/>
        <w:rPr>
          <w:rFonts w:asciiTheme="majorHAnsi" w:hAnsiTheme="majorHAnsi" w:cstheme="majorHAnsi"/>
          <w:b/>
        </w:rPr>
      </w:pPr>
    </w:p>
    <w:p w14:paraId="0CE2DB4F" w14:textId="77777777" w:rsidR="009D707E" w:rsidRDefault="009D707E" w:rsidP="00DE1DC1">
      <w:pPr>
        <w:spacing w:line="240" w:lineRule="auto"/>
        <w:ind w:firstLine="0"/>
        <w:rPr>
          <w:rFonts w:asciiTheme="majorHAnsi" w:hAnsiTheme="majorHAnsi" w:cstheme="majorHAnsi"/>
          <w:b/>
        </w:rPr>
      </w:pPr>
    </w:p>
    <w:p w14:paraId="161E66D5" w14:textId="77777777" w:rsidR="009D707E" w:rsidRDefault="009D707E" w:rsidP="00DE1DC1">
      <w:pPr>
        <w:spacing w:line="240" w:lineRule="auto"/>
        <w:ind w:firstLine="0"/>
        <w:rPr>
          <w:rFonts w:asciiTheme="majorHAnsi" w:hAnsiTheme="majorHAnsi" w:cstheme="majorHAnsi"/>
          <w:b/>
        </w:rPr>
      </w:pPr>
    </w:p>
    <w:p w14:paraId="05D77EA5" w14:textId="77777777" w:rsidR="009D707E" w:rsidRDefault="009D707E" w:rsidP="00DE1DC1">
      <w:pPr>
        <w:spacing w:line="240" w:lineRule="auto"/>
        <w:ind w:firstLine="0"/>
        <w:rPr>
          <w:rFonts w:asciiTheme="majorHAnsi" w:hAnsiTheme="majorHAnsi" w:cstheme="majorHAnsi"/>
          <w:b/>
        </w:rPr>
      </w:pPr>
    </w:p>
    <w:p w14:paraId="35A2A6FA" w14:textId="77777777" w:rsidR="009D707E" w:rsidRDefault="009D707E" w:rsidP="00DE1DC1">
      <w:pPr>
        <w:spacing w:line="240" w:lineRule="auto"/>
        <w:ind w:firstLine="0"/>
        <w:rPr>
          <w:rFonts w:asciiTheme="majorHAnsi" w:hAnsiTheme="majorHAnsi" w:cstheme="majorHAnsi"/>
          <w:b/>
        </w:rPr>
      </w:pPr>
    </w:p>
    <w:p w14:paraId="7CAFAC2C" w14:textId="77777777" w:rsidR="009D707E" w:rsidRDefault="009D707E" w:rsidP="00DE1DC1">
      <w:pPr>
        <w:spacing w:line="240" w:lineRule="auto"/>
        <w:ind w:firstLine="0"/>
        <w:rPr>
          <w:rFonts w:asciiTheme="majorHAnsi" w:hAnsiTheme="majorHAnsi" w:cstheme="majorHAnsi"/>
          <w:b/>
        </w:rPr>
      </w:pPr>
    </w:p>
    <w:p w14:paraId="42BB2911" w14:textId="77777777" w:rsidR="009D707E" w:rsidRDefault="009D707E" w:rsidP="00DE1DC1">
      <w:pPr>
        <w:spacing w:line="240" w:lineRule="auto"/>
        <w:ind w:firstLine="0"/>
        <w:rPr>
          <w:rFonts w:asciiTheme="majorHAnsi" w:hAnsiTheme="majorHAnsi" w:cstheme="majorHAnsi"/>
          <w:b/>
        </w:rPr>
      </w:pPr>
    </w:p>
    <w:p w14:paraId="63D3552C" w14:textId="77777777" w:rsidR="009D707E" w:rsidRDefault="009D707E" w:rsidP="00DE1DC1">
      <w:pPr>
        <w:spacing w:line="240" w:lineRule="auto"/>
        <w:ind w:firstLine="0"/>
        <w:rPr>
          <w:rFonts w:asciiTheme="majorHAnsi" w:hAnsiTheme="majorHAnsi" w:cstheme="majorHAnsi"/>
          <w:b/>
        </w:rPr>
      </w:pPr>
    </w:p>
    <w:p w14:paraId="290F9387" w14:textId="77777777" w:rsidR="009D707E" w:rsidRDefault="009D707E" w:rsidP="00DE1DC1">
      <w:pPr>
        <w:spacing w:line="240" w:lineRule="auto"/>
        <w:ind w:firstLine="0"/>
        <w:rPr>
          <w:rFonts w:asciiTheme="majorHAnsi" w:hAnsiTheme="majorHAnsi" w:cstheme="majorHAnsi"/>
          <w:b/>
        </w:rPr>
      </w:pPr>
    </w:p>
    <w:p w14:paraId="478DAE8D" w14:textId="77777777" w:rsidR="009D707E" w:rsidRDefault="009D707E" w:rsidP="00DE1DC1">
      <w:pPr>
        <w:spacing w:line="240" w:lineRule="auto"/>
        <w:ind w:firstLine="0"/>
        <w:rPr>
          <w:rFonts w:asciiTheme="majorHAnsi" w:hAnsiTheme="majorHAnsi" w:cstheme="majorHAnsi"/>
          <w:b/>
        </w:rPr>
      </w:pPr>
    </w:p>
    <w:p w14:paraId="1BE6FE47" w14:textId="77777777" w:rsidR="009D707E" w:rsidRDefault="009D707E" w:rsidP="00DE1DC1">
      <w:pPr>
        <w:spacing w:line="240" w:lineRule="auto"/>
        <w:ind w:firstLine="0"/>
        <w:rPr>
          <w:rFonts w:asciiTheme="majorHAnsi" w:hAnsiTheme="majorHAnsi" w:cstheme="majorHAnsi"/>
          <w:b/>
        </w:rPr>
      </w:pPr>
    </w:p>
    <w:p w14:paraId="6227BAA5" w14:textId="77777777" w:rsidR="009D707E" w:rsidRDefault="009D707E" w:rsidP="00DE1DC1">
      <w:pPr>
        <w:spacing w:line="240" w:lineRule="auto"/>
        <w:ind w:firstLine="0"/>
        <w:rPr>
          <w:rFonts w:asciiTheme="majorHAnsi" w:hAnsiTheme="majorHAnsi" w:cstheme="majorHAnsi"/>
          <w:b/>
        </w:rPr>
      </w:pPr>
    </w:p>
    <w:p w14:paraId="3873AC54" w14:textId="77777777" w:rsidR="009D707E" w:rsidRDefault="009D707E" w:rsidP="00DE1DC1">
      <w:pPr>
        <w:spacing w:line="240" w:lineRule="auto"/>
        <w:ind w:firstLine="0"/>
        <w:rPr>
          <w:rFonts w:asciiTheme="majorHAnsi" w:hAnsiTheme="majorHAnsi" w:cstheme="majorHAnsi"/>
          <w:b/>
        </w:rPr>
      </w:pPr>
    </w:p>
    <w:p w14:paraId="440E9007" w14:textId="77777777" w:rsidR="009D707E" w:rsidRDefault="009D707E" w:rsidP="00DE1DC1">
      <w:pPr>
        <w:spacing w:line="240" w:lineRule="auto"/>
        <w:ind w:firstLine="0"/>
        <w:rPr>
          <w:rFonts w:asciiTheme="majorHAnsi" w:hAnsiTheme="majorHAnsi" w:cstheme="majorHAnsi"/>
          <w:b/>
        </w:rPr>
      </w:pPr>
    </w:p>
    <w:p w14:paraId="1EF4204F" w14:textId="77777777" w:rsidR="009D707E" w:rsidRDefault="009D707E" w:rsidP="00DE1DC1">
      <w:pPr>
        <w:spacing w:line="240" w:lineRule="auto"/>
        <w:ind w:firstLine="0"/>
        <w:rPr>
          <w:rFonts w:asciiTheme="majorHAnsi" w:hAnsiTheme="majorHAnsi" w:cstheme="majorHAnsi"/>
          <w:b/>
        </w:rPr>
      </w:pPr>
    </w:p>
    <w:p w14:paraId="05AC19A3" w14:textId="77777777" w:rsidR="009D707E" w:rsidRDefault="009D707E" w:rsidP="00DE1DC1">
      <w:pPr>
        <w:spacing w:line="240" w:lineRule="auto"/>
        <w:ind w:firstLine="0"/>
        <w:rPr>
          <w:rFonts w:asciiTheme="majorHAnsi" w:hAnsiTheme="majorHAnsi" w:cstheme="majorHAnsi"/>
          <w:b/>
        </w:rPr>
      </w:pPr>
    </w:p>
    <w:p w14:paraId="519FCB43" w14:textId="16884AD9" w:rsidR="00DE1DC1" w:rsidRPr="00007EE7" w:rsidRDefault="00DE1DC1" w:rsidP="00DE1DC1">
      <w:pPr>
        <w:spacing w:line="240" w:lineRule="auto"/>
        <w:ind w:firstLine="0"/>
        <w:rPr>
          <w:rFonts w:asciiTheme="majorHAnsi" w:eastAsia="Calibri" w:hAnsiTheme="majorHAnsi" w:cstheme="majorHAnsi"/>
          <w:color w:val="auto"/>
          <w:lang w:eastAsia="en-US"/>
        </w:rPr>
      </w:pPr>
      <w:r>
        <w:rPr>
          <w:rFonts w:asciiTheme="majorHAnsi" w:hAnsiTheme="majorHAnsi" w:cstheme="majorHAnsi"/>
          <w:b/>
        </w:rPr>
        <w:lastRenderedPageBreak/>
        <w:t>Exhibit 7</w:t>
      </w:r>
      <w:r w:rsidRPr="006F5E8B">
        <w:rPr>
          <w:rFonts w:asciiTheme="majorHAnsi" w:hAnsiTheme="majorHAnsi" w:cstheme="majorHAnsi"/>
          <w:b/>
        </w:rPr>
        <w:t>:</w:t>
      </w:r>
      <w:r>
        <w:rPr>
          <w:rFonts w:asciiTheme="majorHAnsi" w:hAnsiTheme="majorHAnsi" w:cstheme="majorHAnsi"/>
        </w:rPr>
        <w:t xml:space="preserve"> Expanded AVM-by-FSD analysis results: R</w:t>
      </w:r>
      <w:r w:rsidRPr="006F5E8B">
        <w:rPr>
          <w:rFonts w:asciiTheme="majorHAnsi" w:hAnsiTheme="majorHAnsi" w:cstheme="majorHAnsi"/>
        </w:rPr>
        <w:t xml:space="preserve">anking and grading of the </w:t>
      </w:r>
      <w:r>
        <w:rPr>
          <w:rFonts w:asciiTheme="majorHAnsi" w:hAnsiTheme="majorHAnsi" w:cstheme="majorHAnsi"/>
        </w:rPr>
        <w:t xml:space="preserve">vendor-reported </w:t>
      </w:r>
      <w:r w:rsidRPr="006F5E8B">
        <w:rPr>
          <w:rFonts w:asciiTheme="majorHAnsi" w:hAnsiTheme="majorHAnsi" w:cstheme="majorHAnsi"/>
        </w:rPr>
        <w:t xml:space="preserve">FSDs from </w:t>
      </w:r>
      <w:r w:rsidRPr="006F5E8B">
        <w:rPr>
          <w:rFonts w:asciiTheme="majorHAnsi" w:eastAsia="Calibri" w:hAnsiTheme="majorHAnsi" w:cstheme="majorHAnsi"/>
          <w:color w:val="auto"/>
          <w:lang w:eastAsia="en-US"/>
        </w:rPr>
        <w:t>Model 15</w:t>
      </w:r>
      <w:r w:rsidRPr="006F5E8B">
        <w:rPr>
          <w:rFonts w:asciiTheme="majorHAnsi" w:eastAsia="Times New Roman" w:hAnsiTheme="majorHAnsi" w:cstheme="majorHAnsi"/>
          <w:color w:val="000000"/>
          <w:lang w:eastAsia="en-US"/>
        </w:rPr>
        <w:t>.  The last column reflects the relative</w:t>
      </w:r>
      <w:r>
        <w:rPr>
          <w:rFonts w:asciiTheme="majorHAnsi" w:eastAsia="Times New Roman" w:hAnsiTheme="majorHAnsi" w:cstheme="majorHAnsi"/>
          <w:color w:val="000000"/>
          <w:lang w:eastAsia="en-US"/>
        </w:rPr>
        <w:t xml:space="preserve"> </w:t>
      </w:r>
      <w:r w:rsidRPr="006F5E8B">
        <w:rPr>
          <w:rFonts w:asciiTheme="majorHAnsi" w:eastAsia="Times New Roman" w:hAnsiTheme="majorHAnsi" w:cstheme="majorHAnsi"/>
          <w:color w:val="000000"/>
          <w:lang w:eastAsia="en-US"/>
        </w:rPr>
        <w:t xml:space="preserve">performance of </w:t>
      </w:r>
      <w:r>
        <w:rPr>
          <w:rFonts w:asciiTheme="majorHAnsi" w:eastAsia="Times New Roman" w:hAnsiTheme="majorHAnsi" w:cstheme="majorHAnsi"/>
          <w:color w:val="000000"/>
          <w:lang w:eastAsia="en-US"/>
        </w:rPr>
        <w:t xml:space="preserve">the </w:t>
      </w:r>
      <w:r w:rsidRPr="006F5E8B">
        <w:rPr>
          <w:rFonts w:asciiTheme="majorHAnsi" w:eastAsia="Times New Roman" w:hAnsiTheme="majorHAnsi" w:cstheme="majorHAnsi"/>
          <w:color w:val="000000"/>
          <w:lang w:eastAsia="en-US"/>
        </w:rPr>
        <w:t>Model 15</w:t>
      </w:r>
      <w:r>
        <w:rPr>
          <w:rFonts w:asciiTheme="majorHAnsi" w:eastAsia="Times New Roman" w:hAnsiTheme="majorHAnsi" w:cstheme="majorHAnsi"/>
          <w:color w:val="000000"/>
          <w:lang w:eastAsia="en-US"/>
        </w:rPr>
        <w:t xml:space="preserve"> vendor-reported FSDs</w:t>
      </w:r>
      <w:r w:rsidRPr="006F5E8B">
        <w:rPr>
          <w:rFonts w:asciiTheme="majorHAnsi" w:eastAsia="Times New Roman" w:hAnsiTheme="majorHAnsi" w:cstheme="majorHAnsi"/>
          <w:color w:val="000000"/>
          <w:lang w:eastAsia="en-US"/>
        </w:rPr>
        <w:t xml:space="preserve"> compared</w:t>
      </w:r>
      <w:r>
        <w:rPr>
          <w:rFonts w:asciiTheme="majorHAnsi" w:eastAsia="Times New Roman" w:hAnsiTheme="majorHAnsi" w:cstheme="majorHAnsi"/>
          <w:color w:val="000000"/>
          <w:lang w:eastAsia="en-US"/>
        </w:rPr>
        <w:t xml:space="preserve"> to</w:t>
      </w:r>
      <w:r w:rsidRPr="006F5E8B">
        <w:rPr>
          <w:rFonts w:asciiTheme="majorHAnsi" w:eastAsia="Times New Roman" w:hAnsiTheme="majorHAnsi" w:cstheme="majorHAnsi"/>
          <w:color w:val="000000"/>
          <w:lang w:eastAsia="en-US"/>
        </w:rPr>
        <w:t xml:space="preserve"> all 367</w:t>
      </w:r>
      <w:r>
        <w:rPr>
          <w:rFonts w:asciiTheme="majorHAnsi" w:eastAsia="Times New Roman" w:hAnsiTheme="majorHAnsi" w:cstheme="majorHAnsi"/>
          <w:color w:val="000000"/>
          <w:lang w:eastAsia="en-US"/>
        </w:rPr>
        <w:t xml:space="preserve"> </w:t>
      </w:r>
      <w:r w:rsidRPr="006F5E8B">
        <w:rPr>
          <w:rFonts w:asciiTheme="majorHAnsi" w:eastAsia="Times New Roman" w:hAnsiTheme="majorHAnsi" w:cstheme="majorHAnsi"/>
          <w:color w:val="000000"/>
          <w:lang w:eastAsia="en-US"/>
        </w:rPr>
        <w:t>AVM/FSD combinations.</w:t>
      </w:r>
    </w:p>
    <w:p w14:paraId="7A45A067" w14:textId="77777777" w:rsidR="00DE1DC1" w:rsidRPr="006F5E8B" w:rsidRDefault="00DE1DC1" w:rsidP="00DE1DC1">
      <w:pPr>
        <w:spacing w:line="276" w:lineRule="auto"/>
        <w:ind w:firstLine="0"/>
        <w:jc w:val="both"/>
        <w:rPr>
          <w:rFonts w:asciiTheme="majorHAnsi" w:eastAsia="Times New Roman" w:hAnsiTheme="majorHAnsi" w:cstheme="majorHAnsi"/>
          <w:color w:val="000000"/>
          <w:lang w:eastAsia="en-US"/>
        </w:rPr>
      </w:pPr>
    </w:p>
    <w:p w14:paraId="5C27922B" w14:textId="77777777" w:rsidR="00DE1DC1" w:rsidRPr="006F5E8B" w:rsidRDefault="00DE1DC1" w:rsidP="00DE1DC1">
      <w:pPr>
        <w:spacing w:after="160" w:line="259" w:lineRule="auto"/>
        <w:jc w:val="both"/>
        <w:rPr>
          <w:rFonts w:asciiTheme="majorHAnsi" w:eastAsia="Calibri" w:hAnsiTheme="majorHAnsi" w:cstheme="majorHAnsi"/>
          <w:color w:val="auto"/>
          <w:lang w:eastAsia="en-US"/>
        </w:rPr>
      </w:pPr>
      <w:r w:rsidRPr="004A17A1">
        <w:rPr>
          <w:noProof/>
          <w:lang w:eastAsia="en-US"/>
        </w:rPr>
        <w:drawing>
          <wp:inline distT="0" distB="0" distL="0" distR="0" wp14:anchorId="07A52F75" wp14:editId="671A4E61">
            <wp:extent cx="451485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14850" cy="3657600"/>
                    </a:xfrm>
                    <a:prstGeom prst="rect">
                      <a:avLst/>
                    </a:prstGeom>
                    <a:noFill/>
                    <a:ln>
                      <a:noFill/>
                    </a:ln>
                  </pic:spPr>
                </pic:pic>
              </a:graphicData>
            </a:graphic>
          </wp:inline>
        </w:drawing>
      </w:r>
    </w:p>
    <w:tbl>
      <w:tblPr>
        <w:tblW w:w="4770" w:type="dxa"/>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390"/>
      </w:tblGrid>
      <w:tr w:rsidR="00DE1DC1" w:rsidRPr="006F5E8B" w14:paraId="3D9D527E" w14:textId="77777777" w:rsidTr="004655CB">
        <w:trPr>
          <w:trHeight w:val="360"/>
        </w:trPr>
        <w:tc>
          <w:tcPr>
            <w:tcW w:w="2380" w:type="dxa"/>
            <w:shd w:val="clear" w:color="auto" w:fill="auto"/>
            <w:noWrap/>
            <w:vAlign w:val="bottom"/>
            <w:hideMark/>
          </w:tcPr>
          <w:p w14:paraId="751F541C" w14:textId="77777777" w:rsidR="00DE1DC1" w:rsidRPr="006F5E8B" w:rsidRDefault="00DE1DC1" w:rsidP="008B5496">
            <w:pPr>
              <w:spacing w:line="240" w:lineRule="auto"/>
              <w:ind w:firstLine="0"/>
              <w:jc w:val="center"/>
              <w:rPr>
                <w:rFonts w:asciiTheme="majorHAnsi" w:eastAsia="Times New Roman" w:hAnsiTheme="majorHAnsi" w:cstheme="majorHAnsi"/>
                <w:b/>
                <w:bCs/>
                <w:color w:val="44546A"/>
                <w:lang w:eastAsia="en-US"/>
              </w:rPr>
            </w:pPr>
            <w:r w:rsidRPr="006F5E8B">
              <w:rPr>
                <w:rFonts w:asciiTheme="majorHAnsi" w:eastAsia="Times New Roman" w:hAnsiTheme="majorHAnsi" w:cstheme="majorHAnsi"/>
                <w:b/>
                <w:bCs/>
                <w:color w:val="44546A"/>
                <w:lang w:eastAsia="en-US"/>
              </w:rPr>
              <w:t>AVM Performance</w:t>
            </w:r>
          </w:p>
        </w:tc>
        <w:tc>
          <w:tcPr>
            <w:tcW w:w="2390" w:type="dxa"/>
            <w:shd w:val="clear" w:color="auto" w:fill="auto"/>
            <w:noWrap/>
            <w:vAlign w:val="bottom"/>
            <w:hideMark/>
          </w:tcPr>
          <w:p w14:paraId="4DEAA3DE" w14:textId="77777777" w:rsidR="00DE1DC1" w:rsidRPr="006F5E8B" w:rsidRDefault="00DE1DC1" w:rsidP="008B5496">
            <w:pPr>
              <w:spacing w:line="240" w:lineRule="auto"/>
              <w:ind w:firstLine="0"/>
              <w:jc w:val="center"/>
              <w:rPr>
                <w:rFonts w:asciiTheme="majorHAnsi" w:eastAsia="Times New Roman" w:hAnsiTheme="majorHAnsi" w:cstheme="majorHAnsi"/>
                <w:b/>
                <w:bCs/>
                <w:color w:val="44546A"/>
                <w:lang w:eastAsia="en-US"/>
              </w:rPr>
            </w:pPr>
            <w:r w:rsidRPr="006F5E8B">
              <w:rPr>
                <w:rFonts w:asciiTheme="majorHAnsi" w:eastAsia="Times New Roman" w:hAnsiTheme="majorHAnsi" w:cstheme="majorHAnsi"/>
                <w:b/>
                <w:bCs/>
                <w:color w:val="44546A"/>
                <w:lang w:eastAsia="en-US"/>
              </w:rPr>
              <w:t>Model 15 Results</w:t>
            </w:r>
          </w:p>
        </w:tc>
      </w:tr>
      <w:tr w:rsidR="00DE1DC1" w:rsidRPr="006F5E8B" w14:paraId="432406EE" w14:textId="77777777" w:rsidTr="004655CB">
        <w:trPr>
          <w:trHeight w:val="300"/>
        </w:trPr>
        <w:tc>
          <w:tcPr>
            <w:tcW w:w="2380" w:type="dxa"/>
            <w:shd w:val="clear" w:color="000000" w:fill="70AD47"/>
            <w:noWrap/>
            <w:vAlign w:val="bottom"/>
            <w:hideMark/>
          </w:tcPr>
          <w:p w14:paraId="57727341" w14:textId="77777777" w:rsidR="00DE1DC1" w:rsidRPr="006F5E8B" w:rsidRDefault="00DE1DC1" w:rsidP="008B5496">
            <w:pPr>
              <w:spacing w:line="240" w:lineRule="auto"/>
              <w:ind w:firstLine="0"/>
              <w:jc w:val="center"/>
              <w:rPr>
                <w:rFonts w:asciiTheme="majorHAnsi" w:eastAsia="Times New Roman" w:hAnsiTheme="majorHAnsi" w:cstheme="majorHAnsi"/>
                <w:color w:val="000000"/>
                <w:sz w:val="22"/>
                <w:szCs w:val="22"/>
                <w:lang w:eastAsia="en-US"/>
              </w:rPr>
            </w:pPr>
            <w:r w:rsidRPr="006F5E8B">
              <w:rPr>
                <w:rFonts w:asciiTheme="majorHAnsi" w:eastAsia="Times New Roman" w:hAnsiTheme="majorHAnsi" w:cstheme="majorHAnsi"/>
                <w:color w:val="000000"/>
                <w:sz w:val="22"/>
                <w:szCs w:val="22"/>
                <w:lang w:eastAsia="en-US"/>
              </w:rPr>
              <w:t>Strong</w:t>
            </w:r>
          </w:p>
        </w:tc>
        <w:tc>
          <w:tcPr>
            <w:tcW w:w="2390" w:type="dxa"/>
            <w:shd w:val="clear" w:color="auto" w:fill="auto"/>
            <w:noWrap/>
            <w:vAlign w:val="bottom"/>
            <w:hideMark/>
          </w:tcPr>
          <w:p w14:paraId="5CBC6964" w14:textId="77777777" w:rsidR="00DE1DC1" w:rsidRPr="006F5E8B" w:rsidRDefault="00DE1DC1" w:rsidP="008B5496">
            <w:pPr>
              <w:spacing w:line="240" w:lineRule="auto"/>
              <w:ind w:firstLine="0"/>
              <w:jc w:val="center"/>
              <w:rPr>
                <w:rFonts w:asciiTheme="majorHAnsi" w:eastAsia="Times New Roman" w:hAnsiTheme="majorHAnsi" w:cstheme="majorHAnsi"/>
                <w:color w:val="000000"/>
                <w:sz w:val="22"/>
                <w:szCs w:val="22"/>
                <w:lang w:eastAsia="en-US"/>
              </w:rPr>
            </w:pPr>
            <w:r w:rsidRPr="006F5E8B">
              <w:rPr>
                <w:rFonts w:asciiTheme="majorHAnsi" w:eastAsia="Times New Roman" w:hAnsiTheme="majorHAnsi" w:cstheme="majorHAnsi"/>
                <w:color w:val="000000"/>
                <w:sz w:val="22"/>
                <w:szCs w:val="22"/>
                <w:lang w:eastAsia="en-US"/>
              </w:rPr>
              <w:t>51.1%</w:t>
            </w:r>
            <w:r>
              <w:rPr>
                <w:rFonts w:asciiTheme="majorHAnsi" w:eastAsia="Times New Roman" w:hAnsiTheme="majorHAnsi" w:cstheme="majorHAnsi"/>
                <w:color w:val="000000"/>
                <w:sz w:val="22"/>
                <w:szCs w:val="22"/>
                <w:lang w:eastAsia="en-US"/>
              </w:rPr>
              <w:t xml:space="preserve"> of hits</w:t>
            </w:r>
          </w:p>
        </w:tc>
      </w:tr>
      <w:tr w:rsidR="00DE1DC1" w:rsidRPr="006F5E8B" w14:paraId="5058EB46" w14:textId="77777777" w:rsidTr="004655CB">
        <w:trPr>
          <w:trHeight w:val="288"/>
        </w:trPr>
        <w:tc>
          <w:tcPr>
            <w:tcW w:w="2380" w:type="dxa"/>
            <w:shd w:val="clear" w:color="000000" w:fill="C6E0B4"/>
            <w:noWrap/>
            <w:vAlign w:val="bottom"/>
            <w:hideMark/>
          </w:tcPr>
          <w:p w14:paraId="582ABDFD" w14:textId="77777777" w:rsidR="00DE1DC1" w:rsidRPr="006F5E8B" w:rsidRDefault="00DE1DC1" w:rsidP="008B5496">
            <w:pPr>
              <w:spacing w:line="240" w:lineRule="auto"/>
              <w:ind w:firstLine="0"/>
              <w:jc w:val="center"/>
              <w:rPr>
                <w:rFonts w:asciiTheme="majorHAnsi" w:eastAsia="Times New Roman" w:hAnsiTheme="majorHAnsi" w:cstheme="majorHAnsi"/>
                <w:color w:val="000000"/>
                <w:sz w:val="22"/>
                <w:szCs w:val="22"/>
                <w:lang w:eastAsia="en-US"/>
              </w:rPr>
            </w:pPr>
            <w:r w:rsidRPr="006F5E8B">
              <w:rPr>
                <w:rFonts w:asciiTheme="majorHAnsi" w:eastAsia="Times New Roman" w:hAnsiTheme="majorHAnsi" w:cstheme="majorHAnsi"/>
                <w:color w:val="000000"/>
                <w:sz w:val="22"/>
                <w:szCs w:val="22"/>
                <w:lang w:eastAsia="en-US"/>
              </w:rPr>
              <w:t xml:space="preserve">Reasonable </w:t>
            </w:r>
          </w:p>
        </w:tc>
        <w:tc>
          <w:tcPr>
            <w:tcW w:w="2390" w:type="dxa"/>
            <w:shd w:val="clear" w:color="auto" w:fill="auto"/>
            <w:noWrap/>
            <w:vAlign w:val="bottom"/>
            <w:hideMark/>
          </w:tcPr>
          <w:p w14:paraId="7AC77177" w14:textId="77777777" w:rsidR="00DE1DC1" w:rsidRPr="006F5E8B" w:rsidRDefault="00DE1DC1" w:rsidP="008B5496">
            <w:pPr>
              <w:spacing w:line="240" w:lineRule="auto"/>
              <w:ind w:firstLine="0"/>
              <w:jc w:val="center"/>
              <w:rPr>
                <w:rFonts w:asciiTheme="majorHAnsi" w:eastAsia="Times New Roman" w:hAnsiTheme="majorHAnsi" w:cstheme="majorHAnsi"/>
                <w:color w:val="000000"/>
                <w:sz w:val="22"/>
                <w:szCs w:val="22"/>
                <w:lang w:eastAsia="en-US"/>
              </w:rPr>
            </w:pPr>
            <w:r w:rsidRPr="006F5E8B">
              <w:rPr>
                <w:rFonts w:asciiTheme="majorHAnsi" w:eastAsia="Times New Roman" w:hAnsiTheme="majorHAnsi" w:cstheme="majorHAnsi"/>
                <w:color w:val="000000"/>
                <w:sz w:val="22"/>
                <w:szCs w:val="22"/>
                <w:lang w:eastAsia="en-US"/>
              </w:rPr>
              <w:t>33.9%</w:t>
            </w:r>
            <w:r>
              <w:rPr>
                <w:rFonts w:asciiTheme="majorHAnsi" w:eastAsia="Times New Roman" w:hAnsiTheme="majorHAnsi" w:cstheme="majorHAnsi"/>
                <w:color w:val="000000"/>
                <w:sz w:val="22"/>
                <w:szCs w:val="22"/>
                <w:lang w:eastAsia="en-US"/>
              </w:rPr>
              <w:t xml:space="preserve"> of hits</w:t>
            </w:r>
          </w:p>
        </w:tc>
      </w:tr>
      <w:tr w:rsidR="00DE1DC1" w:rsidRPr="006F5E8B" w14:paraId="21C0C196" w14:textId="77777777" w:rsidTr="004655CB">
        <w:trPr>
          <w:trHeight w:val="288"/>
        </w:trPr>
        <w:tc>
          <w:tcPr>
            <w:tcW w:w="2380" w:type="dxa"/>
            <w:shd w:val="clear" w:color="auto" w:fill="FFE699"/>
            <w:noWrap/>
            <w:vAlign w:val="bottom"/>
            <w:hideMark/>
          </w:tcPr>
          <w:p w14:paraId="7E46BECF" w14:textId="77777777" w:rsidR="00DE1DC1" w:rsidRPr="006F5E8B" w:rsidRDefault="00DE1DC1" w:rsidP="008B5496">
            <w:pPr>
              <w:spacing w:line="240" w:lineRule="auto"/>
              <w:ind w:firstLine="0"/>
              <w:jc w:val="center"/>
              <w:rPr>
                <w:rFonts w:asciiTheme="majorHAnsi" w:eastAsia="Times New Roman" w:hAnsiTheme="majorHAnsi" w:cstheme="majorHAnsi"/>
                <w:color w:val="000000"/>
                <w:sz w:val="22"/>
                <w:szCs w:val="22"/>
                <w:lang w:eastAsia="en-US"/>
              </w:rPr>
            </w:pPr>
            <w:r w:rsidRPr="006F5E8B">
              <w:rPr>
                <w:rFonts w:asciiTheme="majorHAnsi" w:eastAsia="Times New Roman" w:hAnsiTheme="majorHAnsi" w:cstheme="majorHAnsi"/>
                <w:color w:val="000000"/>
                <w:sz w:val="22"/>
                <w:szCs w:val="22"/>
                <w:lang w:eastAsia="en-US"/>
              </w:rPr>
              <w:t>Acceptable but Weak</w:t>
            </w:r>
          </w:p>
        </w:tc>
        <w:tc>
          <w:tcPr>
            <w:tcW w:w="2390" w:type="dxa"/>
            <w:shd w:val="clear" w:color="auto" w:fill="auto"/>
            <w:noWrap/>
            <w:vAlign w:val="bottom"/>
            <w:hideMark/>
          </w:tcPr>
          <w:p w14:paraId="7B12F7FE" w14:textId="77777777" w:rsidR="00DE1DC1" w:rsidRPr="006F5E8B" w:rsidRDefault="00DE1DC1" w:rsidP="008B5496">
            <w:pPr>
              <w:spacing w:line="240" w:lineRule="auto"/>
              <w:ind w:firstLine="0"/>
              <w:jc w:val="center"/>
              <w:rPr>
                <w:rFonts w:asciiTheme="majorHAnsi" w:eastAsia="Times New Roman" w:hAnsiTheme="majorHAnsi" w:cstheme="majorHAnsi"/>
                <w:color w:val="000000"/>
                <w:sz w:val="22"/>
                <w:szCs w:val="22"/>
                <w:lang w:eastAsia="en-US"/>
              </w:rPr>
            </w:pPr>
            <w:r w:rsidRPr="006F5E8B">
              <w:rPr>
                <w:rFonts w:asciiTheme="majorHAnsi" w:eastAsia="Times New Roman" w:hAnsiTheme="majorHAnsi" w:cstheme="majorHAnsi"/>
                <w:color w:val="000000"/>
                <w:sz w:val="22"/>
                <w:szCs w:val="22"/>
                <w:lang w:eastAsia="en-US"/>
              </w:rPr>
              <w:t>8.7%</w:t>
            </w:r>
            <w:r>
              <w:rPr>
                <w:rFonts w:asciiTheme="majorHAnsi" w:eastAsia="Times New Roman" w:hAnsiTheme="majorHAnsi" w:cstheme="majorHAnsi"/>
                <w:color w:val="000000"/>
                <w:sz w:val="22"/>
                <w:szCs w:val="22"/>
                <w:lang w:eastAsia="en-US"/>
              </w:rPr>
              <w:t xml:space="preserve"> of hits</w:t>
            </w:r>
          </w:p>
        </w:tc>
      </w:tr>
      <w:tr w:rsidR="00DE1DC1" w:rsidRPr="006F5E8B" w14:paraId="46639442" w14:textId="77777777" w:rsidTr="004655CB">
        <w:trPr>
          <w:trHeight w:val="288"/>
        </w:trPr>
        <w:tc>
          <w:tcPr>
            <w:tcW w:w="2380" w:type="dxa"/>
            <w:shd w:val="clear" w:color="auto" w:fill="F8CBAD"/>
            <w:noWrap/>
            <w:vAlign w:val="bottom"/>
            <w:hideMark/>
          </w:tcPr>
          <w:p w14:paraId="7ACF6A23" w14:textId="77777777" w:rsidR="00DE1DC1" w:rsidRPr="006F5E8B" w:rsidRDefault="00DE1DC1" w:rsidP="008B5496">
            <w:pPr>
              <w:spacing w:line="240" w:lineRule="auto"/>
              <w:ind w:firstLine="0"/>
              <w:jc w:val="center"/>
              <w:rPr>
                <w:rFonts w:asciiTheme="majorHAnsi" w:eastAsia="Times New Roman" w:hAnsiTheme="majorHAnsi" w:cstheme="majorHAnsi"/>
                <w:color w:val="000000"/>
                <w:sz w:val="22"/>
                <w:szCs w:val="22"/>
                <w:lang w:eastAsia="en-US"/>
              </w:rPr>
            </w:pPr>
            <w:r w:rsidRPr="006F5E8B">
              <w:rPr>
                <w:rFonts w:asciiTheme="majorHAnsi" w:eastAsia="Times New Roman" w:hAnsiTheme="majorHAnsi" w:cstheme="majorHAnsi"/>
                <w:color w:val="000000"/>
                <w:sz w:val="22"/>
                <w:szCs w:val="22"/>
                <w:lang w:eastAsia="en-US"/>
              </w:rPr>
              <w:t>Poor</w:t>
            </w:r>
          </w:p>
        </w:tc>
        <w:tc>
          <w:tcPr>
            <w:tcW w:w="2390" w:type="dxa"/>
            <w:shd w:val="clear" w:color="auto" w:fill="auto"/>
            <w:noWrap/>
            <w:vAlign w:val="bottom"/>
            <w:hideMark/>
          </w:tcPr>
          <w:p w14:paraId="0227A7F8" w14:textId="77777777" w:rsidR="00DE1DC1" w:rsidRPr="006F5E8B" w:rsidRDefault="00DE1DC1" w:rsidP="008B5496">
            <w:pPr>
              <w:spacing w:line="240" w:lineRule="auto"/>
              <w:ind w:firstLine="0"/>
              <w:jc w:val="center"/>
              <w:rPr>
                <w:rFonts w:asciiTheme="majorHAnsi" w:eastAsia="Times New Roman" w:hAnsiTheme="majorHAnsi" w:cstheme="majorHAnsi"/>
                <w:color w:val="000000"/>
                <w:sz w:val="22"/>
                <w:szCs w:val="22"/>
                <w:lang w:eastAsia="en-US"/>
              </w:rPr>
            </w:pPr>
            <w:r w:rsidRPr="006F5E8B">
              <w:rPr>
                <w:rFonts w:asciiTheme="majorHAnsi" w:eastAsia="Times New Roman" w:hAnsiTheme="majorHAnsi" w:cstheme="majorHAnsi"/>
                <w:color w:val="000000"/>
                <w:sz w:val="22"/>
                <w:szCs w:val="22"/>
                <w:lang w:eastAsia="en-US"/>
              </w:rPr>
              <w:t>6.3%</w:t>
            </w:r>
            <w:r>
              <w:rPr>
                <w:rFonts w:asciiTheme="majorHAnsi" w:eastAsia="Times New Roman" w:hAnsiTheme="majorHAnsi" w:cstheme="majorHAnsi"/>
                <w:color w:val="000000"/>
                <w:sz w:val="22"/>
                <w:szCs w:val="22"/>
                <w:lang w:eastAsia="en-US"/>
              </w:rPr>
              <w:t xml:space="preserve"> of hits</w:t>
            </w:r>
          </w:p>
        </w:tc>
      </w:tr>
    </w:tbl>
    <w:p w14:paraId="753B8689" w14:textId="77777777" w:rsidR="00DE1DC1" w:rsidRPr="006F5E8B" w:rsidRDefault="00DE1DC1" w:rsidP="00DE1DC1">
      <w:pPr>
        <w:pStyle w:val="TableFigure"/>
        <w:spacing w:line="240" w:lineRule="auto"/>
        <w:rPr>
          <w:rFonts w:asciiTheme="majorHAnsi" w:eastAsia="Times New Roman" w:hAnsiTheme="majorHAnsi" w:cstheme="majorHAnsi"/>
          <w:color w:val="auto"/>
          <w:lang w:eastAsia="en-US"/>
        </w:rPr>
      </w:pPr>
    </w:p>
    <w:p w14:paraId="286C5B72" w14:textId="77777777" w:rsidR="00F75C74" w:rsidRDefault="00F75C74">
      <w:pPr>
        <w:rPr>
          <w:rFonts w:asciiTheme="majorHAnsi" w:hAnsiTheme="majorHAnsi" w:cstheme="majorHAnsi"/>
          <w:b/>
        </w:rPr>
      </w:pPr>
      <w:r>
        <w:rPr>
          <w:rFonts w:asciiTheme="majorHAnsi" w:hAnsiTheme="majorHAnsi" w:cstheme="majorHAnsi"/>
          <w:b/>
        </w:rPr>
        <w:br w:type="page"/>
      </w:r>
    </w:p>
    <w:p w14:paraId="2C5C2F94" w14:textId="4B7869D1" w:rsidR="00F75C74" w:rsidRPr="00A7789B" w:rsidRDefault="00F75C74" w:rsidP="00153F40">
      <w:pPr>
        <w:spacing w:after="240" w:line="240" w:lineRule="auto"/>
        <w:ind w:firstLine="0"/>
        <w:rPr>
          <w:rFonts w:asciiTheme="majorHAnsi" w:eastAsia="Times New Roman" w:hAnsiTheme="majorHAnsi" w:cstheme="majorHAnsi"/>
          <w:color w:val="auto"/>
          <w:lang w:eastAsia="en-US"/>
        </w:rPr>
      </w:pPr>
      <w:r>
        <w:rPr>
          <w:rFonts w:asciiTheme="majorHAnsi" w:hAnsiTheme="majorHAnsi" w:cstheme="majorHAnsi"/>
          <w:b/>
        </w:rPr>
        <w:lastRenderedPageBreak/>
        <w:t>Exhibit</w:t>
      </w:r>
      <w:r w:rsidRPr="00A7789B">
        <w:rPr>
          <w:rFonts w:asciiTheme="majorHAnsi" w:hAnsiTheme="majorHAnsi" w:cstheme="majorHAnsi"/>
          <w:b/>
        </w:rPr>
        <w:t xml:space="preserve"> </w:t>
      </w:r>
      <w:r>
        <w:rPr>
          <w:rFonts w:asciiTheme="majorHAnsi" w:hAnsiTheme="majorHAnsi" w:cstheme="majorHAnsi"/>
          <w:b/>
        </w:rPr>
        <w:t>8</w:t>
      </w:r>
      <w:r w:rsidRPr="00A7789B">
        <w:rPr>
          <w:rFonts w:asciiTheme="majorHAnsi" w:hAnsiTheme="majorHAnsi" w:cstheme="majorHAnsi"/>
          <w:b/>
        </w:rPr>
        <w:t>:</w:t>
      </w:r>
      <w:r w:rsidRPr="00A7789B">
        <w:rPr>
          <w:rFonts w:asciiTheme="majorHAnsi" w:hAnsiTheme="majorHAnsi" w:cstheme="majorHAnsi"/>
        </w:rPr>
        <w:t xml:space="preserve"> </w:t>
      </w:r>
      <w:r>
        <w:rPr>
          <w:rFonts w:asciiTheme="majorHAnsi" w:hAnsiTheme="majorHAnsi" w:cstheme="majorHAnsi"/>
        </w:rPr>
        <w:t xml:space="preserve">Clark County Analysis: </w:t>
      </w:r>
      <w:r w:rsidRPr="00A7789B">
        <w:rPr>
          <w:rFonts w:asciiTheme="majorHAnsi" w:hAnsiTheme="majorHAnsi" w:cstheme="majorHAnsi"/>
        </w:rPr>
        <w:t xml:space="preserve">Standard deviations for individual AVM Performance Metrics across the </w:t>
      </w:r>
      <w:r>
        <w:rPr>
          <w:rFonts w:asciiTheme="majorHAnsi" w:hAnsiTheme="majorHAnsi" w:cstheme="majorHAnsi"/>
        </w:rPr>
        <w:t xml:space="preserve">twelve </w:t>
      </w:r>
      <w:r w:rsidRPr="00A7789B">
        <w:rPr>
          <w:rFonts w:asciiTheme="majorHAnsi" w:hAnsiTheme="majorHAnsi" w:cstheme="majorHAnsi"/>
        </w:rPr>
        <w:t>AVM</w:t>
      </w:r>
      <w:r>
        <w:rPr>
          <w:rFonts w:asciiTheme="majorHAnsi" w:hAnsiTheme="majorHAnsi" w:cstheme="majorHAnsi"/>
        </w:rPr>
        <w:t>s</w:t>
      </w:r>
      <w:r w:rsidRPr="00A7789B">
        <w:rPr>
          <w:rFonts w:asciiTheme="majorHAnsi" w:hAnsiTheme="majorHAnsi" w:cstheme="majorHAnsi"/>
        </w:rPr>
        <w:t xml:space="preserve"> using a common set of </w:t>
      </w:r>
      <w:r>
        <w:rPr>
          <w:rFonts w:asciiTheme="majorHAnsi" w:hAnsiTheme="majorHAnsi" w:cstheme="majorHAnsi"/>
        </w:rPr>
        <w:t>1,193</w:t>
      </w:r>
      <w:r w:rsidRPr="00A7789B">
        <w:rPr>
          <w:rFonts w:asciiTheme="majorHAnsi" w:hAnsiTheme="majorHAnsi" w:cstheme="majorHAnsi"/>
        </w:rPr>
        <w:t xml:space="preserve"> sales</w:t>
      </w:r>
      <w:r>
        <w:rPr>
          <w:rFonts w:asciiTheme="majorHAnsi" w:hAnsiTheme="majorHAnsi" w:cstheme="majorHAnsi"/>
        </w:rPr>
        <w:t xml:space="preserve"> from Clark County, Nevada</w:t>
      </w:r>
      <w:r w:rsidRPr="00A7789B">
        <w:rPr>
          <w:rFonts w:asciiTheme="majorHAnsi" w:hAnsiTheme="majorHAnsi" w:cstheme="majorHAnsi"/>
        </w:rPr>
        <w:t>, together</w:t>
      </w:r>
      <w:r>
        <w:rPr>
          <w:rFonts w:asciiTheme="majorHAnsi" w:hAnsiTheme="majorHAnsi" w:cstheme="majorHAnsi"/>
        </w:rPr>
        <w:t xml:space="preserve"> </w:t>
      </w:r>
      <w:r w:rsidRPr="00A7789B">
        <w:rPr>
          <w:rFonts w:asciiTheme="majorHAnsi" w:hAnsiTheme="majorHAnsi" w:cstheme="majorHAnsi"/>
        </w:rPr>
        <w:t xml:space="preserve">with the </w:t>
      </w:r>
      <w:r>
        <w:rPr>
          <w:rFonts w:asciiTheme="majorHAnsi" w:hAnsiTheme="majorHAnsi" w:cstheme="majorHAnsi"/>
        </w:rPr>
        <w:t>coefficients</w:t>
      </w:r>
      <w:r w:rsidRPr="00A7789B">
        <w:rPr>
          <w:rFonts w:asciiTheme="majorHAnsi" w:hAnsiTheme="majorHAnsi" w:cstheme="majorHAnsi"/>
        </w:rPr>
        <w:t xml:space="preserve"> </w:t>
      </w:r>
      <w:r>
        <w:rPr>
          <w:rFonts w:asciiTheme="majorHAnsi" w:hAnsiTheme="majorHAnsi" w:cstheme="majorHAnsi"/>
        </w:rPr>
        <w:t>i</w:t>
      </w:r>
      <w:r w:rsidRPr="00A7789B">
        <w:rPr>
          <w:rFonts w:asciiTheme="majorHAnsi" w:hAnsiTheme="majorHAnsi" w:cstheme="majorHAnsi"/>
        </w:rPr>
        <w:t xml:space="preserve">n the AVM-ES.  </w:t>
      </w:r>
    </w:p>
    <w:tbl>
      <w:tblPr>
        <w:tblW w:w="7835" w:type="dxa"/>
        <w:tblInd w:w="355" w:type="dxa"/>
        <w:tblLook w:val="04A0" w:firstRow="1" w:lastRow="0" w:firstColumn="1" w:lastColumn="0" w:noHBand="0" w:noVBand="1"/>
      </w:tblPr>
      <w:tblGrid>
        <w:gridCol w:w="4595"/>
        <w:gridCol w:w="1440"/>
        <w:gridCol w:w="1800"/>
      </w:tblGrid>
      <w:tr w:rsidR="00F75C74" w:rsidRPr="00A7789B" w14:paraId="3CFF6EFA" w14:textId="77777777" w:rsidTr="009D707E">
        <w:trPr>
          <w:trHeight w:val="300"/>
        </w:trPr>
        <w:tc>
          <w:tcPr>
            <w:tcW w:w="4595" w:type="dxa"/>
            <w:tcBorders>
              <w:top w:val="single" w:sz="4" w:space="0" w:color="4472C4"/>
              <w:left w:val="single" w:sz="4" w:space="0" w:color="auto"/>
              <w:bottom w:val="double" w:sz="6" w:space="0" w:color="4472C4"/>
              <w:right w:val="single" w:sz="4" w:space="0" w:color="auto"/>
            </w:tcBorders>
            <w:shd w:val="clear" w:color="auto" w:fill="auto"/>
            <w:noWrap/>
            <w:vAlign w:val="bottom"/>
            <w:hideMark/>
          </w:tcPr>
          <w:p w14:paraId="6799FEBB" w14:textId="77777777" w:rsidR="00F75C74" w:rsidRPr="00A7789B" w:rsidRDefault="00F75C74" w:rsidP="008B5496">
            <w:pPr>
              <w:spacing w:line="240" w:lineRule="auto"/>
              <w:ind w:firstLine="0"/>
              <w:rPr>
                <w:rFonts w:asciiTheme="majorHAnsi" w:eastAsia="Times New Roman" w:hAnsiTheme="majorHAnsi" w:cstheme="majorHAnsi"/>
                <w:b/>
                <w:bCs/>
                <w:color w:val="000000"/>
                <w:sz w:val="22"/>
                <w:szCs w:val="22"/>
                <w:lang w:eastAsia="en-US"/>
              </w:rPr>
            </w:pPr>
            <w:r w:rsidRPr="00A7789B">
              <w:rPr>
                <w:rFonts w:asciiTheme="majorHAnsi" w:eastAsia="Times New Roman" w:hAnsiTheme="majorHAnsi" w:cstheme="majorHAnsi"/>
                <w:b/>
                <w:bCs/>
                <w:color w:val="000000"/>
                <w:sz w:val="22"/>
                <w:szCs w:val="22"/>
                <w:lang w:eastAsia="en-US"/>
              </w:rPr>
              <w:t xml:space="preserve">AVM </w:t>
            </w:r>
            <w:r>
              <w:rPr>
                <w:rFonts w:asciiTheme="majorHAnsi" w:eastAsia="Times New Roman" w:hAnsiTheme="majorHAnsi" w:cstheme="majorHAnsi"/>
                <w:b/>
                <w:bCs/>
                <w:color w:val="000000"/>
                <w:sz w:val="22"/>
                <w:szCs w:val="22"/>
                <w:lang w:eastAsia="en-US"/>
              </w:rPr>
              <w:t xml:space="preserve">Performance </w:t>
            </w:r>
            <w:r w:rsidRPr="00A7789B">
              <w:rPr>
                <w:rFonts w:asciiTheme="majorHAnsi" w:eastAsia="Times New Roman" w:hAnsiTheme="majorHAnsi" w:cstheme="majorHAnsi"/>
                <w:b/>
                <w:bCs/>
                <w:color w:val="000000"/>
                <w:sz w:val="22"/>
                <w:szCs w:val="22"/>
                <w:lang w:eastAsia="en-US"/>
              </w:rPr>
              <w:t>Metric</w:t>
            </w:r>
          </w:p>
        </w:tc>
        <w:tc>
          <w:tcPr>
            <w:tcW w:w="1440" w:type="dxa"/>
            <w:tcBorders>
              <w:top w:val="single" w:sz="4" w:space="0" w:color="4472C4"/>
              <w:left w:val="single" w:sz="4" w:space="0" w:color="auto"/>
              <w:bottom w:val="double" w:sz="6" w:space="0" w:color="4472C4"/>
              <w:right w:val="single" w:sz="4" w:space="0" w:color="auto"/>
            </w:tcBorders>
          </w:tcPr>
          <w:p w14:paraId="19CE2E18" w14:textId="77777777" w:rsidR="00F75C74" w:rsidRPr="00A7789B" w:rsidRDefault="00F75C74" w:rsidP="008B5496">
            <w:pPr>
              <w:spacing w:line="240" w:lineRule="auto"/>
              <w:ind w:firstLine="0"/>
              <w:jc w:val="center"/>
              <w:rPr>
                <w:rFonts w:asciiTheme="majorHAnsi" w:eastAsia="Times New Roman" w:hAnsiTheme="majorHAnsi" w:cstheme="majorHAnsi"/>
                <w:b/>
                <w:bCs/>
                <w:color w:val="000000"/>
                <w:sz w:val="22"/>
                <w:szCs w:val="22"/>
                <w:lang w:eastAsia="en-US"/>
              </w:rPr>
            </w:pPr>
            <w:r w:rsidRPr="00A7789B">
              <w:rPr>
                <w:rFonts w:asciiTheme="majorHAnsi" w:eastAsia="Times New Roman" w:hAnsiTheme="majorHAnsi" w:cstheme="majorHAnsi"/>
                <w:b/>
                <w:bCs/>
                <w:color w:val="000000"/>
                <w:sz w:val="22"/>
                <w:szCs w:val="22"/>
                <w:lang w:eastAsia="en-US"/>
              </w:rPr>
              <w:t xml:space="preserve">Standard </w:t>
            </w:r>
          </w:p>
          <w:p w14:paraId="15CB0040" w14:textId="77777777" w:rsidR="00F75C74" w:rsidRPr="00A7789B" w:rsidRDefault="00F75C74" w:rsidP="008B5496">
            <w:pPr>
              <w:spacing w:line="240" w:lineRule="auto"/>
              <w:ind w:firstLine="0"/>
              <w:jc w:val="center"/>
              <w:rPr>
                <w:rFonts w:asciiTheme="majorHAnsi" w:eastAsia="Times New Roman" w:hAnsiTheme="majorHAnsi" w:cstheme="majorHAnsi"/>
                <w:b/>
                <w:bCs/>
                <w:color w:val="000000"/>
                <w:sz w:val="22"/>
                <w:szCs w:val="22"/>
                <w:lang w:eastAsia="en-US"/>
              </w:rPr>
            </w:pPr>
            <w:r w:rsidRPr="00A7789B">
              <w:rPr>
                <w:rFonts w:asciiTheme="majorHAnsi" w:eastAsia="Times New Roman" w:hAnsiTheme="majorHAnsi" w:cstheme="majorHAnsi"/>
                <w:b/>
                <w:bCs/>
                <w:color w:val="000000"/>
                <w:sz w:val="22"/>
                <w:szCs w:val="22"/>
                <w:lang w:eastAsia="en-US"/>
              </w:rPr>
              <w:t>Deviation</w:t>
            </w:r>
          </w:p>
        </w:tc>
        <w:tc>
          <w:tcPr>
            <w:tcW w:w="1800" w:type="dxa"/>
            <w:tcBorders>
              <w:top w:val="single" w:sz="4" w:space="0" w:color="4472C4"/>
              <w:left w:val="single" w:sz="4" w:space="0" w:color="auto"/>
              <w:bottom w:val="double" w:sz="6" w:space="0" w:color="4472C4"/>
              <w:right w:val="single" w:sz="4" w:space="0" w:color="auto"/>
            </w:tcBorders>
          </w:tcPr>
          <w:p w14:paraId="27D54D33" w14:textId="77777777" w:rsidR="00F75C74" w:rsidRPr="00A7789B" w:rsidRDefault="00F75C74" w:rsidP="008B5496">
            <w:pPr>
              <w:spacing w:line="240" w:lineRule="auto"/>
              <w:ind w:firstLine="0"/>
              <w:jc w:val="center"/>
              <w:rPr>
                <w:rFonts w:asciiTheme="majorHAnsi" w:eastAsia="Times New Roman" w:hAnsiTheme="majorHAnsi" w:cstheme="majorHAnsi"/>
                <w:b/>
                <w:bCs/>
                <w:color w:val="000000"/>
                <w:sz w:val="22"/>
                <w:szCs w:val="22"/>
                <w:lang w:eastAsia="en-US"/>
              </w:rPr>
            </w:pPr>
            <w:r>
              <w:rPr>
                <w:rFonts w:asciiTheme="majorHAnsi" w:eastAsia="Times New Roman" w:hAnsiTheme="majorHAnsi" w:cstheme="majorHAnsi"/>
                <w:b/>
                <w:bCs/>
                <w:color w:val="000000"/>
                <w:sz w:val="22"/>
                <w:szCs w:val="22"/>
                <w:lang w:eastAsia="en-US"/>
              </w:rPr>
              <w:t xml:space="preserve"> </w:t>
            </w:r>
            <w:r w:rsidRPr="00A7789B">
              <w:rPr>
                <w:rFonts w:asciiTheme="majorHAnsi" w:eastAsia="Times New Roman" w:hAnsiTheme="majorHAnsi" w:cstheme="majorHAnsi"/>
                <w:b/>
                <w:bCs/>
                <w:color w:val="000000"/>
                <w:sz w:val="22"/>
                <w:szCs w:val="22"/>
                <w:lang w:eastAsia="en-US"/>
              </w:rPr>
              <w:t xml:space="preserve"> </w:t>
            </w:r>
            <w:r>
              <w:rPr>
                <w:rFonts w:asciiTheme="majorHAnsi" w:eastAsia="Times New Roman" w:hAnsiTheme="majorHAnsi" w:cstheme="majorHAnsi"/>
                <w:b/>
                <w:bCs/>
                <w:color w:val="000000"/>
                <w:sz w:val="22"/>
                <w:szCs w:val="22"/>
                <w:lang w:eastAsia="en-US"/>
              </w:rPr>
              <w:t>Coefficient</w:t>
            </w:r>
            <w:r w:rsidRPr="00A7789B">
              <w:rPr>
                <w:rFonts w:asciiTheme="majorHAnsi" w:eastAsia="Times New Roman" w:hAnsiTheme="majorHAnsi" w:cstheme="majorHAnsi"/>
                <w:b/>
                <w:bCs/>
                <w:color w:val="000000"/>
                <w:sz w:val="22"/>
                <w:szCs w:val="22"/>
                <w:lang w:eastAsia="en-US"/>
              </w:rPr>
              <w:t xml:space="preserve"> in AVM-ES</w:t>
            </w:r>
          </w:p>
        </w:tc>
      </w:tr>
      <w:tr w:rsidR="00F75C74" w:rsidRPr="00E17DCD" w14:paraId="3A4D5B1D" w14:textId="77777777" w:rsidTr="009D707E">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hideMark/>
          </w:tcPr>
          <w:p w14:paraId="2E51314E" w14:textId="77777777" w:rsidR="00F75C74" w:rsidRPr="00E17DCD" w:rsidRDefault="00F75C74" w:rsidP="008B5496">
            <w:pPr>
              <w:spacing w:line="240" w:lineRule="auto"/>
              <w:ind w:firstLine="0"/>
              <w:rPr>
                <w:rFonts w:asciiTheme="majorHAnsi" w:eastAsia="Times New Roman" w:hAnsiTheme="majorHAnsi" w:cstheme="majorHAnsi"/>
                <w:color w:val="000000"/>
                <w:lang w:eastAsia="en-US"/>
              </w:rPr>
            </w:pPr>
            <w:r w:rsidRPr="00E17DCD">
              <w:rPr>
                <w:rFonts w:asciiTheme="majorHAnsi" w:eastAsia="Times New Roman" w:hAnsiTheme="majorHAnsi" w:cstheme="majorHAnsi"/>
                <w:color w:val="000000"/>
                <w:lang w:eastAsia="en-US"/>
              </w:rPr>
              <w:t>Mean Percentage Sales Error</w:t>
            </w:r>
          </w:p>
        </w:tc>
        <w:tc>
          <w:tcPr>
            <w:tcW w:w="1440" w:type="dxa"/>
            <w:tcBorders>
              <w:top w:val="nil"/>
              <w:left w:val="single" w:sz="4" w:space="0" w:color="3F3F3F"/>
              <w:bottom w:val="single" w:sz="4" w:space="0" w:color="3F3F3F"/>
              <w:right w:val="single" w:sz="4" w:space="0" w:color="3F3F3F"/>
            </w:tcBorders>
          </w:tcPr>
          <w:p w14:paraId="7BDD57EC" w14:textId="77777777" w:rsidR="00F75C74" w:rsidRPr="00E17DCD" w:rsidRDefault="00F75C74" w:rsidP="008B5496">
            <w:pPr>
              <w:spacing w:line="240" w:lineRule="auto"/>
              <w:ind w:firstLine="0"/>
              <w:jc w:val="center"/>
            </w:pPr>
            <w:r w:rsidRPr="00E17DCD">
              <w:t xml:space="preserve">1.937 </w:t>
            </w:r>
          </w:p>
        </w:tc>
        <w:tc>
          <w:tcPr>
            <w:tcW w:w="1800" w:type="dxa"/>
            <w:tcBorders>
              <w:top w:val="nil"/>
              <w:left w:val="single" w:sz="4" w:space="0" w:color="3F3F3F"/>
              <w:bottom w:val="single" w:sz="4" w:space="0" w:color="3F3F3F"/>
              <w:right w:val="single" w:sz="4" w:space="0" w:color="3F3F3F"/>
            </w:tcBorders>
          </w:tcPr>
          <w:p w14:paraId="7582E9B9" w14:textId="77777777" w:rsidR="00F75C74" w:rsidRPr="00E17DCD" w:rsidRDefault="00F75C74" w:rsidP="008B5496">
            <w:pPr>
              <w:spacing w:line="240" w:lineRule="auto"/>
              <w:ind w:firstLine="0"/>
              <w:jc w:val="center"/>
              <w:rPr>
                <w:rFonts w:asciiTheme="majorHAnsi" w:eastAsia="Times New Roman" w:hAnsiTheme="majorHAnsi" w:cstheme="majorHAnsi"/>
                <w:color w:val="auto"/>
                <w:lang w:eastAsia="en-US"/>
              </w:rPr>
            </w:pPr>
            <w:r w:rsidRPr="00E17DCD">
              <w:t xml:space="preserve"> 0.354</w:t>
            </w:r>
          </w:p>
        </w:tc>
      </w:tr>
      <w:tr w:rsidR="00F75C74" w:rsidRPr="00E17DCD" w14:paraId="13C1ED64" w14:textId="77777777" w:rsidTr="009D707E">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hideMark/>
          </w:tcPr>
          <w:p w14:paraId="44AD3995" w14:textId="77777777" w:rsidR="00F75C74" w:rsidRPr="00E17DCD" w:rsidRDefault="00F75C74" w:rsidP="008B5496">
            <w:pPr>
              <w:spacing w:line="240" w:lineRule="auto"/>
              <w:ind w:firstLine="0"/>
              <w:rPr>
                <w:rFonts w:asciiTheme="majorHAnsi" w:eastAsia="Times New Roman" w:hAnsiTheme="majorHAnsi" w:cstheme="majorHAnsi"/>
                <w:color w:val="000000"/>
                <w:lang w:eastAsia="en-US"/>
              </w:rPr>
            </w:pPr>
            <w:r w:rsidRPr="00E17DCD">
              <w:rPr>
                <w:rFonts w:asciiTheme="majorHAnsi" w:eastAsia="Times New Roman" w:hAnsiTheme="majorHAnsi" w:cstheme="majorHAnsi"/>
                <w:color w:val="000000"/>
                <w:lang w:eastAsia="en-US"/>
              </w:rPr>
              <w:t>Median Absolute Percent Error (MAPE)</w:t>
            </w:r>
          </w:p>
        </w:tc>
        <w:tc>
          <w:tcPr>
            <w:tcW w:w="1440" w:type="dxa"/>
            <w:tcBorders>
              <w:top w:val="nil"/>
              <w:left w:val="single" w:sz="4" w:space="0" w:color="3F3F3F"/>
              <w:bottom w:val="single" w:sz="4" w:space="0" w:color="3F3F3F"/>
              <w:right w:val="single" w:sz="4" w:space="0" w:color="3F3F3F"/>
            </w:tcBorders>
          </w:tcPr>
          <w:p w14:paraId="4486DEFF" w14:textId="77777777" w:rsidR="00F75C74" w:rsidRPr="00E17DCD" w:rsidRDefault="00F75C74" w:rsidP="008B5496">
            <w:pPr>
              <w:spacing w:line="240" w:lineRule="auto"/>
              <w:ind w:firstLine="0"/>
              <w:jc w:val="center"/>
            </w:pPr>
            <w:r w:rsidRPr="00E17DCD">
              <w:t xml:space="preserve"> 1.780</w:t>
            </w:r>
          </w:p>
        </w:tc>
        <w:tc>
          <w:tcPr>
            <w:tcW w:w="1800" w:type="dxa"/>
            <w:tcBorders>
              <w:top w:val="nil"/>
              <w:left w:val="single" w:sz="4" w:space="0" w:color="3F3F3F"/>
              <w:bottom w:val="single" w:sz="4" w:space="0" w:color="3F3F3F"/>
              <w:right w:val="single" w:sz="4" w:space="0" w:color="3F3F3F"/>
            </w:tcBorders>
          </w:tcPr>
          <w:p w14:paraId="0525BCA0" w14:textId="77777777" w:rsidR="00F75C74" w:rsidRPr="00E17DCD" w:rsidRDefault="00F75C74" w:rsidP="008B5496">
            <w:pPr>
              <w:spacing w:line="240" w:lineRule="auto"/>
              <w:ind w:firstLine="0"/>
              <w:jc w:val="center"/>
              <w:rPr>
                <w:rFonts w:asciiTheme="majorHAnsi" w:eastAsia="Times New Roman" w:hAnsiTheme="majorHAnsi" w:cstheme="majorHAnsi"/>
                <w:color w:val="auto"/>
                <w:lang w:eastAsia="en-US"/>
              </w:rPr>
            </w:pPr>
            <w:r w:rsidRPr="00E17DCD">
              <w:rPr>
                <w:rFonts w:asciiTheme="majorHAnsi" w:eastAsia="Times New Roman" w:hAnsiTheme="majorHAnsi" w:cstheme="majorHAnsi"/>
                <w:color w:val="auto"/>
                <w:lang w:eastAsia="en-US"/>
              </w:rPr>
              <w:t>0.382</w:t>
            </w:r>
          </w:p>
        </w:tc>
      </w:tr>
      <w:tr w:rsidR="00F75C74" w:rsidRPr="00E17DCD" w14:paraId="04F4EA48" w14:textId="77777777" w:rsidTr="009D707E">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hideMark/>
          </w:tcPr>
          <w:p w14:paraId="11BCCFB3" w14:textId="3EF325CE" w:rsidR="00F75C74" w:rsidRPr="00E17DCD" w:rsidRDefault="00F51FA4" w:rsidP="008B5496">
            <w:pPr>
              <w:spacing w:line="240" w:lineRule="auto"/>
              <w:ind w:firstLine="0"/>
              <w:rPr>
                <w:rFonts w:asciiTheme="majorHAnsi" w:eastAsia="Times New Roman" w:hAnsiTheme="majorHAnsi" w:cstheme="majorHAnsi"/>
                <w:color w:val="000000"/>
                <w:lang w:eastAsia="en-US"/>
              </w:rPr>
            </w:pPr>
            <w:r>
              <w:rPr>
                <w:rFonts w:asciiTheme="majorHAnsi" w:eastAsia="Times New Roman" w:hAnsiTheme="majorHAnsi" w:cstheme="majorHAnsi"/>
                <w:color w:val="000000"/>
                <w:lang w:eastAsia="en-US"/>
              </w:rPr>
              <w:t>Observed Standard Deviation</w:t>
            </w:r>
          </w:p>
        </w:tc>
        <w:tc>
          <w:tcPr>
            <w:tcW w:w="1440" w:type="dxa"/>
            <w:tcBorders>
              <w:top w:val="nil"/>
              <w:left w:val="single" w:sz="4" w:space="0" w:color="3F3F3F"/>
              <w:bottom w:val="single" w:sz="4" w:space="0" w:color="3F3F3F"/>
              <w:right w:val="single" w:sz="4" w:space="0" w:color="3F3F3F"/>
            </w:tcBorders>
          </w:tcPr>
          <w:p w14:paraId="1378CC9D" w14:textId="77777777" w:rsidR="00F75C74" w:rsidRPr="00E17DCD" w:rsidRDefault="00F75C74" w:rsidP="008B5496">
            <w:pPr>
              <w:spacing w:line="240" w:lineRule="auto"/>
              <w:ind w:firstLine="0"/>
              <w:jc w:val="center"/>
            </w:pPr>
            <w:r w:rsidRPr="00E17DCD">
              <w:t xml:space="preserve"> 1.331</w:t>
            </w:r>
          </w:p>
        </w:tc>
        <w:tc>
          <w:tcPr>
            <w:tcW w:w="1800" w:type="dxa"/>
            <w:tcBorders>
              <w:top w:val="nil"/>
              <w:left w:val="single" w:sz="4" w:space="0" w:color="3F3F3F"/>
              <w:bottom w:val="single" w:sz="4" w:space="0" w:color="3F3F3F"/>
              <w:right w:val="single" w:sz="4" w:space="0" w:color="3F3F3F"/>
            </w:tcBorders>
          </w:tcPr>
          <w:p w14:paraId="1C4E5A8F" w14:textId="77777777" w:rsidR="00F75C74" w:rsidRPr="00E17DCD" w:rsidRDefault="00F75C74" w:rsidP="008B5496">
            <w:pPr>
              <w:spacing w:line="240" w:lineRule="auto"/>
              <w:ind w:firstLine="0"/>
              <w:jc w:val="center"/>
              <w:rPr>
                <w:rFonts w:asciiTheme="majorHAnsi" w:eastAsia="Times New Roman" w:hAnsiTheme="majorHAnsi" w:cstheme="majorHAnsi"/>
                <w:color w:val="auto"/>
                <w:lang w:eastAsia="en-US"/>
              </w:rPr>
            </w:pPr>
            <w:r w:rsidRPr="00E17DCD">
              <w:t xml:space="preserve"> 0.361</w:t>
            </w:r>
          </w:p>
        </w:tc>
      </w:tr>
      <w:tr w:rsidR="00F75C74" w:rsidRPr="00E17DCD" w14:paraId="6F065D3A" w14:textId="77777777" w:rsidTr="009D707E">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hideMark/>
          </w:tcPr>
          <w:p w14:paraId="42CC86D3" w14:textId="77777777" w:rsidR="00F75C74" w:rsidRPr="00E17DCD" w:rsidRDefault="00F75C74" w:rsidP="008B5496">
            <w:pPr>
              <w:spacing w:line="240" w:lineRule="auto"/>
              <w:ind w:firstLine="0"/>
              <w:rPr>
                <w:rFonts w:asciiTheme="majorHAnsi" w:eastAsia="Times New Roman" w:hAnsiTheme="majorHAnsi" w:cstheme="majorHAnsi"/>
                <w:color w:val="000000"/>
                <w:lang w:eastAsia="en-US"/>
              </w:rPr>
            </w:pPr>
            <w:r w:rsidRPr="00E17DCD">
              <w:rPr>
                <w:rFonts w:asciiTheme="majorHAnsi" w:eastAsia="Times New Roman" w:hAnsiTheme="majorHAnsi" w:cstheme="majorHAnsi"/>
                <w:color w:val="000000"/>
                <w:lang w:eastAsia="en-US"/>
              </w:rPr>
              <w:t>Failure Rate at +/- 10% (FR10)</w:t>
            </w:r>
          </w:p>
        </w:tc>
        <w:tc>
          <w:tcPr>
            <w:tcW w:w="1440" w:type="dxa"/>
            <w:tcBorders>
              <w:top w:val="nil"/>
              <w:left w:val="single" w:sz="4" w:space="0" w:color="3F3F3F"/>
              <w:bottom w:val="single" w:sz="4" w:space="0" w:color="3F3F3F"/>
              <w:right w:val="single" w:sz="4" w:space="0" w:color="3F3F3F"/>
            </w:tcBorders>
          </w:tcPr>
          <w:p w14:paraId="3B5D2F1C" w14:textId="77777777" w:rsidR="00F75C74" w:rsidRPr="00E17DCD" w:rsidRDefault="00F75C74" w:rsidP="008B5496">
            <w:pPr>
              <w:spacing w:line="240" w:lineRule="auto"/>
              <w:ind w:firstLine="0"/>
              <w:jc w:val="center"/>
            </w:pPr>
            <w:r w:rsidRPr="00E17DCD">
              <w:t xml:space="preserve"> 9.820</w:t>
            </w:r>
          </w:p>
        </w:tc>
        <w:tc>
          <w:tcPr>
            <w:tcW w:w="1800" w:type="dxa"/>
            <w:tcBorders>
              <w:top w:val="nil"/>
              <w:left w:val="single" w:sz="4" w:space="0" w:color="3F3F3F"/>
              <w:bottom w:val="single" w:sz="4" w:space="0" w:color="3F3F3F"/>
              <w:right w:val="single" w:sz="4" w:space="0" w:color="3F3F3F"/>
            </w:tcBorders>
          </w:tcPr>
          <w:p w14:paraId="00E51294" w14:textId="77777777" w:rsidR="00F75C74" w:rsidRPr="00E17DCD" w:rsidRDefault="00F75C74" w:rsidP="008B5496">
            <w:pPr>
              <w:spacing w:line="240" w:lineRule="auto"/>
              <w:ind w:firstLine="0"/>
              <w:jc w:val="center"/>
              <w:rPr>
                <w:rFonts w:asciiTheme="majorHAnsi" w:eastAsia="Times New Roman" w:hAnsiTheme="majorHAnsi" w:cstheme="majorHAnsi"/>
                <w:color w:val="auto"/>
                <w:lang w:eastAsia="en-US"/>
              </w:rPr>
            </w:pPr>
            <w:r w:rsidRPr="00E17DCD">
              <w:t xml:space="preserve"> 0.390</w:t>
            </w:r>
          </w:p>
        </w:tc>
      </w:tr>
      <w:tr w:rsidR="00F75C74" w:rsidRPr="00E17DCD" w14:paraId="1D9C995E" w14:textId="77777777" w:rsidTr="009D707E">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tcPr>
          <w:p w14:paraId="62337361" w14:textId="77777777" w:rsidR="00F75C74" w:rsidRPr="00E17DCD" w:rsidRDefault="00F75C74" w:rsidP="008B5496">
            <w:pPr>
              <w:spacing w:line="240" w:lineRule="auto"/>
              <w:ind w:firstLine="0"/>
              <w:rPr>
                <w:rFonts w:ascii="Times New Roman" w:hAnsi="Times New Roman" w:cs="Times New Roman"/>
              </w:rPr>
            </w:pPr>
            <w:r w:rsidRPr="00E17DCD">
              <w:rPr>
                <w:rFonts w:asciiTheme="majorHAnsi" w:eastAsia="Times New Roman" w:hAnsiTheme="majorHAnsi" w:cstheme="majorHAnsi"/>
                <w:color w:val="000000"/>
                <w:lang w:eastAsia="en-US"/>
              </w:rPr>
              <w:t>Failure Magnitude at +/- 10% (FMag10)</w:t>
            </w:r>
          </w:p>
        </w:tc>
        <w:tc>
          <w:tcPr>
            <w:tcW w:w="1440" w:type="dxa"/>
            <w:tcBorders>
              <w:top w:val="single" w:sz="4" w:space="0" w:color="auto"/>
              <w:left w:val="single" w:sz="4" w:space="0" w:color="3F3F3F"/>
              <w:bottom w:val="single" w:sz="4" w:space="0" w:color="3F3F3F"/>
              <w:right w:val="single" w:sz="4" w:space="0" w:color="3F3F3F"/>
            </w:tcBorders>
          </w:tcPr>
          <w:p w14:paraId="6ADE389C" w14:textId="77777777" w:rsidR="00F75C74" w:rsidRPr="00E17DCD" w:rsidRDefault="00F75C74" w:rsidP="008B5496">
            <w:pPr>
              <w:spacing w:line="240" w:lineRule="auto"/>
              <w:ind w:firstLine="0"/>
              <w:jc w:val="center"/>
            </w:pPr>
            <w:r>
              <w:t>1.065</w:t>
            </w:r>
          </w:p>
        </w:tc>
        <w:tc>
          <w:tcPr>
            <w:tcW w:w="1800" w:type="dxa"/>
            <w:tcBorders>
              <w:top w:val="single" w:sz="4" w:space="0" w:color="auto"/>
              <w:left w:val="single" w:sz="4" w:space="0" w:color="3F3F3F"/>
              <w:bottom w:val="single" w:sz="4" w:space="0" w:color="3F3F3F"/>
              <w:right w:val="single" w:sz="4" w:space="0" w:color="3F3F3F"/>
            </w:tcBorders>
          </w:tcPr>
          <w:p w14:paraId="6A2EB9D9" w14:textId="77777777" w:rsidR="00F75C74" w:rsidRPr="00E17DCD" w:rsidRDefault="00F75C74" w:rsidP="008B5496">
            <w:pPr>
              <w:spacing w:line="240" w:lineRule="auto"/>
              <w:ind w:firstLine="0"/>
              <w:jc w:val="center"/>
            </w:pPr>
            <w:r w:rsidRPr="00E17DCD">
              <w:t>-0.166</w:t>
            </w:r>
          </w:p>
        </w:tc>
      </w:tr>
      <w:tr w:rsidR="00F75C74" w:rsidRPr="00E17DCD" w14:paraId="2FD3022A" w14:textId="77777777" w:rsidTr="009D707E">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tcPr>
          <w:p w14:paraId="1BB47554" w14:textId="77777777" w:rsidR="00F75C74" w:rsidRPr="00E17DCD" w:rsidRDefault="00F75C74" w:rsidP="008B5496">
            <w:pPr>
              <w:spacing w:line="240" w:lineRule="auto"/>
              <w:ind w:firstLine="0"/>
              <w:rPr>
                <w:rFonts w:ascii="Times New Roman" w:hAnsi="Times New Roman" w:cs="Times New Roman"/>
              </w:rPr>
            </w:pPr>
            <w:r w:rsidRPr="00E17DCD">
              <w:rPr>
                <w:rFonts w:ascii="Times New Roman" w:hAnsi="Times New Roman" w:cs="Times New Roman"/>
              </w:rPr>
              <w:t xml:space="preserve">Failure </w:t>
            </w:r>
            <w:r w:rsidRPr="00E17DCD">
              <w:rPr>
                <w:rFonts w:asciiTheme="majorHAnsi" w:eastAsia="Times New Roman" w:hAnsiTheme="majorHAnsi" w:cstheme="majorHAnsi"/>
                <w:color w:val="000000"/>
                <w:lang w:eastAsia="en-US"/>
              </w:rPr>
              <w:t>MAPE at +/- 10% (FMAPE10)</w:t>
            </w:r>
          </w:p>
        </w:tc>
        <w:tc>
          <w:tcPr>
            <w:tcW w:w="1440" w:type="dxa"/>
            <w:tcBorders>
              <w:top w:val="single" w:sz="4" w:space="0" w:color="auto"/>
              <w:left w:val="single" w:sz="4" w:space="0" w:color="3F3F3F"/>
              <w:bottom w:val="single" w:sz="4" w:space="0" w:color="3F3F3F"/>
              <w:right w:val="single" w:sz="4" w:space="0" w:color="3F3F3F"/>
            </w:tcBorders>
          </w:tcPr>
          <w:p w14:paraId="7505EA9C" w14:textId="77777777" w:rsidR="00F75C74" w:rsidRPr="00E17DCD" w:rsidRDefault="00F75C74" w:rsidP="008B5496">
            <w:pPr>
              <w:spacing w:line="240" w:lineRule="auto"/>
              <w:ind w:firstLine="0"/>
              <w:jc w:val="center"/>
            </w:pPr>
            <w:r w:rsidRPr="00E17DCD">
              <w:t>0.815</w:t>
            </w:r>
          </w:p>
        </w:tc>
        <w:tc>
          <w:tcPr>
            <w:tcW w:w="1800" w:type="dxa"/>
            <w:tcBorders>
              <w:top w:val="single" w:sz="4" w:space="0" w:color="auto"/>
              <w:left w:val="single" w:sz="4" w:space="0" w:color="3F3F3F"/>
              <w:bottom w:val="single" w:sz="4" w:space="0" w:color="3F3F3F"/>
              <w:right w:val="single" w:sz="4" w:space="0" w:color="3F3F3F"/>
            </w:tcBorders>
          </w:tcPr>
          <w:p w14:paraId="7F064D5E" w14:textId="77777777" w:rsidR="00F75C74" w:rsidRPr="00E17DCD" w:rsidRDefault="00F75C74" w:rsidP="008B5496">
            <w:pPr>
              <w:spacing w:line="240" w:lineRule="auto"/>
              <w:ind w:firstLine="0"/>
              <w:jc w:val="center"/>
            </w:pPr>
            <w:r w:rsidRPr="00E17DCD">
              <w:t>0.099</w:t>
            </w:r>
          </w:p>
        </w:tc>
      </w:tr>
      <w:tr w:rsidR="00F75C74" w:rsidRPr="00E17DCD" w14:paraId="13C94C70" w14:textId="77777777" w:rsidTr="009D707E">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hideMark/>
          </w:tcPr>
          <w:p w14:paraId="4D06D834" w14:textId="77777777" w:rsidR="00F75C74" w:rsidRPr="00E17DCD" w:rsidRDefault="00F75C74" w:rsidP="008B5496">
            <w:pPr>
              <w:spacing w:line="240" w:lineRule="auto"/>
              <w:ind w:firstLine="0"/>
              <w:rPr>
                <w:rFonts w:asciiTheme="majorHAnsi" w:eastAsia="Times New Roman" w:hAnsiTheme="majorHAnsi" w:cstheme="majorHAnsi"/>
                <w:color w:val="000000"/>
                <w:lang w:eastAsia="en-US"/>
              </w:rPr>
            </w:pPr>
            <w:r w:rsidRPr="00E17DCD">
              <w:rPr>
                <w:rFonts w:ascii="Times New Roman" w:hAnsi="Times New Roman" w:cs="Times New Roman"/>
              </w:rPr>
              <w:t>Coefficient of Variation (COV)</w:t>
            </w:r>
          </w:p>
        </w:tc>
        <w:tc>
          <w:tcPr>
            <w:tcW w:w="1440" w:type="dxa"/>
            <w:tcBorders>
              <w:top w:val="single" w:sz="4" w:space="0" w:color="auto"/>
              <w:left w:val="single" w:sz="4" w:space="0" w:color="3F3F3F"/>
              <w:bottom w:val="single" w:sz="4" w:space="0" w:color="3F3F3F"/>
              <w:right w:val="single" w:sz="4" w:space="0" w:color="3F3F3F"/>
            </w:tcBorders>
          </w:tcPr>
          <w:p w14:paraId="1AA11FA8" w14:textId="77777777" w:rsidR="00F75C74" w:rsidRPr="00E17DCD" w:rsidRDefault="00F75C74" w:rsidP="008B5496">
            <w:pPr>
              <w:spacing w:line="240" w:lineRule="auto"/>
              <w:ind w:firstLine="0"/>
              <w:jc w:val="center"/>
            </w:pPr>
            <w:r w:rsidRPr="00E17DCD">
              <w:t xml:space="preserve">0.015 </w:t>
            </w:r>
          </w:p>
        </w:tc>
        <w:tc>
          <w:tcPr>
            <w:tcW w:w="1800" w:type="dxa"/>
            <w:tcBorders>
              <w:top w:val="single" w:sz="4" w:space="0" w:color="auto"/>
              <w:left w:val="single" w:sz="4" w:space="0" w:color="3F3F3F"/>
              <w:bottom w:val="single" w:sz="4" w:space="0" w:color="3F3F3F"/>
              <w:right w:val="single" w:sz="4" w:space="0" w:color="3F3F3F"/>
            </w:tcBorders>
          </w:tcPr>
          <w:p w14:paraId="32481E90" w14:textId="77777777" w:rsidR="00F75C74" w:rsidRPr="00E17DCD" w:rsidRDefault="00F75C74" w:rsidP="008B5496">
            <w:pPr>
              <w:spacing w:line="240" w:lineRule="auto"/>
              <w:ind w:firstLine="0"/>
              <w:jc w:val="center"/>
              <w:rPr>
                <w:rFonts w:asciiTheme="majorHAnsi" w:eastAsia="Times New Roman" w:hAnsiTheme="majorHAnsi" w:cstheme="majorHAnsi"/>
                <w:color w:val="auto"/>
                <w:lang w:eastAsia="en-US"/>
              </w:rPr>
            </w:pPr>
            <w:r w:rsidRPr="00E17DCD">
              <w:t xml:space="preserve">0.376 </w:t>
            </w:r>
          </w:p>
        </w:tc>
      </w:tr>
      <w:tr w:rsidR="00F75C74" w:rsidRPr="00E17DCD" w14:paraId="5E370C88" w14:textId="77777777" w:rsidTr="009D707E">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hideMark/>
          </w:tcPr>
          <w:p w14:paraId="2C861B29" w14:textId="77777777" w:rsidR="00F75C74" w:rsidRPr="00E17DCD" w:rsidRDefault="00F75C74" w:rsidP="008B5496">
            <w:pPr>
              <w:spacing w:line="240" w:lineRule="auto"/>
              <w:ind w:firstLine="0"/>
              <w:rPr>
                <w:rFonts w:asciiTheme="majorHAnsi" w:eastAsia="Times New Roman" w:hAnsiTheme="majorHAnsi" w:cstheme="majorHAnsi"/>
                <w:color w:val="000000"/>
                <w:lang w:eastAsia="en-US"/>
              </w:rPr>
            </w:pPr>
            <w:r w:rsidRPr="00E17DCD">
              <w:rPr>
                <w:rFonts w:ascii="Times New Roman" w:hAnsi="Times New Roman" w:cs="Times New Roman"/>
              </w:rPr>
              <w:t>Coefficient of Dispersion (COD)</w:t>
            </w:r>
          </w:p>
        </w:tc>
        <w:tc>
          <w:tcPr>
            <w:tcW w:w="1440" w:type="dxa"/>
            <w:tcBorders>
              <w:top w:val="nil"/>
              <w:left w:val="single" w:sz="4" w:space="0" w:color="3F3F3F"/>
              <w:bottom w:val="single" w:sz="4" w:space="0" w:color="3F3F3F"/>
              <w:right w:val="single" w:sz="4" w:space="0" w:color="3F3F3F"/>
            </w:tcBorders>
          </w:tcPr>
          <w:p w14:paraId="2FCCCFC2" w14:textId="77777777" w:rsidR="00F75C74" w:rsidRPr="00E17DCD" w:rsidRDefault="00F75C74" w:rsidP="008B5496">
            <w:pPr>
              <w:spacing w:line="240" w:lineRule="auto"/>
              <w:ind w:firstLine="0"/>
              <w:jc w:val="center"/>
            </w:pPr>
            <w:r w:rsidRPr="00E17DCD">
              <w:t xml:space="preserve"> 1.225</w:t>
            </w:r>
          </w:p>
        </w:tc>
        <w:tc>
          <w:tcPr>
            <w:tcW w:w="1800" w:type="dxa"/>
            <w:tcBorders>
              <w:top w:val="nil"/>
              <w:left w:val="single" w:sz="4" w:space="0" w:color="3F3F3F"/>
              <w:bottom w:val="single" w:sz="4" w:space="0" w:color="3F3F3F"/>
              <w:right w:val="single" w:sz="4" w:space="0" w:color="3F3F3F"/>
            </w:tcBorders>
          </w:tcPr>
          <w:p w14:paraId="5F4B137A" w14:textId="77777777" w:rsidR="00F75C74" w:rsidRPr="00E17DCD" w:rsidRDefault="00F75C74" w:rsidP="008B5496">
            <w:pPr>
              <w:spacing w:line="240" w:lineRule="auto"/>
              <w:ind w:firstLine="0"/>
              <w:jc w:val="center"/>
              <w:rPr>
                <w:rFonts w:asciiTheme="majorHAnsi" w:eastAsia="Times New Roman" w:hAnsiTheme="majorHAnsi" w:cstheme="majorHAnsi"/>
                <w:color w:val="auto"/>
                <w:lang w:eastAsia="en-US"/>
              </w:rPr>
            </w:pPr>
            <w:r>
              <w:t>0.397</w:t>
            </w:r>
            <w:r w:rsidRPr="00E17DCD">
              <w:t xml:space="preserve">  </w:t>
            </w:r>
          </w:p>
        </w:tc>
      </w:tr>
      <w:tr w:rsidR="00F75C74" w:rsidRPr="00E17DCD" w14:paraId="6BD82F63" w14:textId="77777777" w:rsidTr="009D707E">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hideMark/>
          </w:tcPr>
          <w:p w14:paraId="00E895C0" w14:textId="77777777" w:rsidR="00F75C74" w:rsidRPr="00E17DCD" w:rsidRDefault="00F75C74" w:rsidP="008B5496">
            <w:pPr>
              <w:spacing w:line="240" w:lineRule="auto"/>
              <w:ind w:firstLine="0"/>
              <w:rPr>
                <w:rFonts w:asciiTheme="majorHAnsi" w:eastAsia="Times New Roman" w:hAnsiTheme="majorHAnsi" w:cstheme="majorHAnsi"/>
                <w:color w:val="000000"/>
                <w:lang w:eastAsia="en-US"/>
              </w:rPr>
            </w:pPr>
            <w:r w:rsidRPr="00E17DCD">
              <w:rPr>
                <w:rFonts w:asciiTheme="majorHAnsi" w:eastAsia="Times New Roman" w:hAnsiTheme="majorHAnsi" w:cstheme="majorHAnsi"/>
                <w:color w:val="000000"/>
                <w:lang w:eastAsia="en-US"/>
              </w:rPr>
              <w:t>Price Related Difference (PRD)</w:t>
            </w:r>
          </w:p>
        </w:tc>
        <w:tc>
          <w:tcPr>
            <w:tcW w:w="1440" w:type="dxa"/>
            <w:tcBorders>
              <w:top w:val="nil"/>
              <w:left w:val="single" w:sz="4" w:space="0" w:color="3F3F3F"/>
              <w:bottom w:val="single" w:sz="4" w:space="0" w:color="3F3F3F"/>
              <w:right w:val="single" w:sz="4" w:space="0" w:color="3F3F3F"/>
            </w:tcBorders>
          </w:tcPr>
          <w:p w14:paraId="75C5A024" w14:textId="77777777" w:rsidR="00F75C74" w:rsidRPr="00E17DCD" w:rsidRDefault="00F75C74" w:rsidP="008B5496">
            <w:pPr>
              <w:spacing w:line="240" w:lineRule="auto"/>
              <w:ind w:firstLine="0"/>
              <w:jc w:val="center"/>
            </w:pPr>
            <w:r w:rsidRPr="00E17DCD">
              <w:t xml:space="preserve"> 0.003</w:t>
            </w:r>
          </w:p>
        </w:tc>
        <w:tc>
          <w:tcPr>
            <w:tcW w:w="1800" w:type="dxa"/>
            <w:tcBorders>
              <w:top w:val="nil"/>
              <w:left w:val="single" w:sz="4" w:space="0" w:color="3F3F3F"/>
              <w:bottom w:val="single" w:sz="4" w:space="0" w:color="3F3F3F"/>
              <w:right w:val="single" w:sz="4" w:space="0" w:color="3F3F3F"/>
            </w:tcBorders>
          </w:tcPr>
          <w:p w14:paraId="399D8A87" w14:textId="77777777" w:rsidR="00F75C74" w:rsidRPr="00E17DCD" w:rsidRDefault="00F75C74" w:rsidP="008B5496">
            <w:pPr>
              <w:spacing w:line="240" w:lineRule="auto"/>
              <w:ind w:firstLine="0"/>
              <w:jc w:val="center"/>
              <w:rPr>
                <w:rFonts w:asciiTheme="majorHAnsi" w:eastAsia="Times New Roman" w:hAnsiTheme="majorHAnsi" w:cstheme="majorHAnsi"/>
                <w:color w:val="auto"/>
                <w:lang w:eastAsia="en-US"/>
              </w:rPr>
            </w:pPr>
            <w:r>
              <w:t>-0.102</w:t>
            </w:r>
          </w:p>
        </w:tc>
      </w:tr>
      <w:tr w:rsidR="00F75C74" w:rsidRPr="00E17DCD" w14:paraId="6CE6BE3C" w14:textId="77777777" w:rsidTr="009D707E">
        <w:trPr>
          <w:trHeight w:val="312"/>
        </w:trPr>
        <w:tc>
          <w:tcPr>
            <w:tcW w:w="4595" w:type="dxa"/>
            <w:tcBorders>
              <w:top w:val="single" w:sz="4" w:space="0" w:color="auto"/>
              <w:left w:val="single" w:sz="4" w:space="0" w:color="auto"/>
              <w:bottom w:val="single" w:sz="4" w:space="0" w:color="auto"/>
              <w:right w:val="nil"/>
            </w:tcBorders>
            <w:shd w:val="clear" w:color="auto" w:fill="auto"/>
            <w:noWrap/>
            <w:vAlign w:val="center"/>
            <w:hideMark/>
          </w:tcPr>
          <w:p w14:paraId="5F9EDAB4" w14:textId="77777777" w:rsidR="00F75C74" w:rsidRPr="00E17DCD" w:rsidRDefault="00F75C74" w:rsidP="008B5496">
            <w:pPr>
              <w:spacing w:line="240" w:lineRule="auto"/>
              <w:ind w:firstLine="0"/>
              <w:rPr>
                <w:rFonts w:asciiTheme="majorHAnsi" w:eastAsia="Times New Roman" w:hAnsiTheme="majorHAnsi" w:cstheme="majorHAnsi"/>
                <w:color w:val="000000"/>
                <w:lang w:eastAsia="en-US"/>
              </w:rPr>
            </w:pPr>
            <w:r w:rsidRPr="00E17DCD">
              <w:rPr>
                <w:rFonts w:asciiTheme="majorHAnsi" w:eastAsia="Times New Roman" w:hAnsiTheme="majorHAnsi" w:cstheme="majorHAnsi"/>
                <w:color w:val="000000"/>
                <w:lang w:eastAsia="en-US"/>
              </w:rPr>
              <w:t>Price Related Bias (PRB)</w:t>
            </w:r>
          </w:p>
        </w:tc>
        <w:tc>
          <w:tcPr>
            <w:tcW w:w="1440" w:type="dxa"/>
            <w:tcBorders>
              <w:top w:val="nil"/>
              <w:left w:val="single" w:sz="4" w:space="0" w:color="3F3F3F"/>
              <w:bottom w:val="single" w:sz="4" w:space="0" w:color="3F3F3F"/>
              <w:right w:val="single" w:sz="4" w:space="0" w:color="3F3F3F"/>
            </w:tcBorders>
          </w:tcPr>
          <w:p w14:paraId="6C392166" w14:textId="77777777" w:rsidR="00F75C74" w:rsidRPr="00E17DCD" w:rsidRDefault="00F75C74" w:rsidP="008B5496">
            <w:pPr>
              <w:spacing w:line="240" w:lineRule="auto"/>
              <w:ind w:firstLine="0"/>
              <w:jc w:val="center"/>
            </w:pPr>
            <w:r w:rsidRPr="00E17DCD">
              <w:t xml:space="preserve"> 0.009</w:t>
            </w:r>
          </w:p>
        </w:tc>
        <w:tc>
          <w:tcPr>
            <w:tcW w:w="1800" w:type="dxa"/>
            <w:tcBorders>
              <w:top w:val="nil"/>
              <w:left w:val="single" w:sz="4" w:space="0" w:color="3F3F3F"/>
              <w:bottom w:val="single" w:sz="4" w:space="0" w:color="3F3F3F"/>
              <w:right w:val="single" w:sz="4" w:space="0" w:color="3F3F3F"/>
            </w:tcBorders>
          </w:tcPr>
          <w:p w14:paraId="66C3497A" w14:textId="77777777" w:rsidR="00F75C74" w:rsidRPr="00E17DCD" w:rsidRDefault="00F75C74" w:rsidP="008B5496">
            <w:pPr>
              <w:spacing w:line="240" w:lineRule="auto"/>
              <w:ind w:firstLine="0"/>
              <w:jc w:val="center"/>
              <w:rPr>
                <w:rFonts w:asciiTheme="majorHAnsi" w:eastAsia="Times New Roman" w:hAnsiTheme="majorHAnsi" w:cstheme="majorHAnsi"/>
                <w:color w:val="auto"/>
                <w:lang w:eastAsia="en-US"/>
              </w:rPr>
            </w:pPr>
            <w:r w:rsidRPr="00E17DCD">
              <w:t xml:space="preserve"> </w:t>
            </w:r>
            <w:r>
              <w:t>0.316</w:t>
            </w:r>
          </w:p>
        </w:tc>
      </w:tr>
    </w:tbl>
    <w:p w14:paraId="6B1CF9BB" w14:textId="77777777" w:rsidR="00F75C74" w:rsidRPr="00E17DCD" w:rsidRDefault="00F75C74" w:rsidP="00F75C74">
      <w:pPr>
        <w:ind w:firstLine="0"/>
        <w:rPr>
          <w:rFonts w:asciiTheme="majorHAnsi" w:hAnsiTheme="majorHAnsi" w:cstheme="majorHAnsi"/>
          <w:b/>
        </w:rPr>
      </w:pPr>
    </w:p>
    <w:p w14:paraId="53E7C5AB" w14:textId="003F4007" w:rsidR="00DA3875" w:rsidRDefault="00DA3875">
      <w:pPr>
        <w:rPr>
          <w:rFonts w:asciiTheme="majorHAnsi" w:hAnsiTheme="majorHAnsi" w:cstheme="majorHAnsi"/>
          <w:b/>
        </w:rPr>
      </w:pPr>
      <w:r>
        <w:rPr>
          <w:rFonts w:asciiTheme="majorHAnsi" w:hAnsiTheme="majorHAnsi" w:cstheme="majorHAnsi"/>
          <w:b/>
        </w:rPr>
        <w:br w:type="page"/>
      </w:r>
    </w:p>
    <w:p w14:paraId="255125C7" w14:textId="77777777" w:rsidR="00B23744" w:rsidRPr="007532A5" w:rsidRDefault="00B23744" w:rsidP="00B23744">
      <w:pPr>
        <w:pStyle w:val="TableFigure"/>
        <w:spacing w:line="240" w:lineRule="auto"/>
        <w:rPr>
          <w:rFonts w:asciiTheme="majorHAnsi" w:hAnsiTheme="majorHAnsi" w:cstheme="majorHAnsi"/>
        </w:rPr>
      </w:pPr>
      <w:r>
        <w:rPr>
          <w:rFonts w:asciiTheme="majorHAnsi" w:hAnsiTheme="majorHAnsi" w:cstheme="majorHAnsi"/>
          <w:b/>
        </w:rPr>
        <w:lastRenderedPageBreak/>
        <w:t>Exhibit</w:t>
      </w:r>
      <w:r w:rsidRPr="00A7789B">
        <w:rPr>
          <w:rFonts w:asciiTheme="majorHAnsi" w:hAnsiTheme="majorHAnsi" w:cstheme="majorHAnsi"/>
          <w:b/>
        </w:rPr>
        <w:t xml:space="preserve"> </w:t>
      </w:r>
      <w:r>
        <w:rPr>
          <w:rFonts w:asciiTheme="majorHAnsi" w:hAnsiTheme="majorHAnsi" w:cstheme="majorHAnsi"/>
          <w:b/>
        </w:rPr>
        <w:t>9</w:t>
      </w:r>
      <w:r w:rsidRPr="00A7789B">
        <w:rPr>
          <w:rFonts w:asciiTheme="majorHAnsi" w:hAnsiTheme="majorHAnsi" w:cstheme="majorHAnsi"/>
          <w:b/>
        </w:rPr>
        <w:t>:</w:t>
      </w:r>
      <w:r w:rsidRPr="00A7789B">
        <w:rPr>
          <w:rFonts w:asciiTheme="majorHAnsi" w:hAnsiTheme="majorHAnsi" w:cstheme="majorHAnsi"/>
        </w:rPr>
        <w:t xml:space="preserve"> </w:t>
      </w:r>
      <w:r>
        <w:rPr>
          <w:rFonts w:asciiTheme="majorHAnsi" w:hAnsiTheme="majorHAnsi" w:cstheme="majorHAnsi"/>
        </w:rPr>
        <w:t>Clark County Analysis:  Values of ten</w:t>
      </w:r>
      <w:r w:rsidRPr="00A7789B">
        <w:rPr>
          <w:rFonts w:asciiTheme="majorHAnsi" w:hAnsiTheme="majorHAnsi" w:cstheme="majorHAnsi"/>
        </w:rPr>
        <w:t xml:space="preserve"> AVM Performance Metrics </w:t>
      </w:r>
      <w:r>
        <w:rPr>
          <w:rFonts w:asciiTheme="majorHAnsi" w:hAnsiTheme="majorHAnsi" w:cstheme="majorHAnsi"/>
        </w:rPr>
        <w:t>for</w:t>
      </w:r>
      <w:r w:rsidRPr="00A7789B">
        <w:rPr>
          <w:rFonts w:asciiTheme="majorHAnsi" w:hAnsiTheme="majorHAnsi" w:cstheme="majorHAnsi"/>
        </w:rPr>
        <w:t xml:space="preserve"> </w:t>
      </w:r>
      <w:r>
        <w:rPr>
          <w:rFonts w:asciiTheme="majorHAnsi" w:hAnsiTheme="majorHAnsi" w:cstheme="majorHAnsi"/>
        </w:rPr>
        <w:t>twelve</w:t>
      </w:r>
      <w:r w:rsidRPr="00A7789B">
        <w:rPr>
          <w:rFonts w:asciiTheme="majorHAnsi" w:hAnsiTheme="majorHAnsi" w:cstheme="majorHAnsi"/>
        </w:rPr>
        <w:t xml:space="preserve"> AVM</w:t>
      </w:r>
      <w:r>
        <w:rPr>
          <w:rFonts w:asciiTheme="majorHAnsi" w:hAnsiTheme="majorHAnsi" w:cstheme="majorHAnsi"/>
        </w:rPr>
        <w:t>s</w:t>
      </w:r>
      <w:r w:rsidRPr="00A7789B">
        <w:rPr>
          <w:rFonts w:asciiTheme="majorHAnsi" w:hAnsiTheme="majorHAnsi" w:cstheme="majorHAnsi"/>
        </w:rPr>
        <w:t xml:space="preserve"> using a common set of </w:t>
      </w:r>
      <w:r>
        <w:rPr>
          <w:rFonts w:asciiTheme="majorHAnsi" w:hAnsiTheme="majorHAnsi" w:cstheme="majorHAnsi"/>
        </w:rPr>
        <w:t xml:space="preserve"> 1,193</w:t>
      </w:r>
      <w:r w:rsidRPr="00A7789B">
        <w:rPr>
          <w:rFonts w:asciiTheme="majorHAnsi" w:hAnsiTheme="majorHAnsi" w:cstheme="majorHAnsi"/>
        </w:rPr>
        <w:t xml:space="preserve"> sales</w:t>
      </w:r>
      <w:r>
        <w:rPr>
          <w:rFonts w:asciiTheme="majorHAnsi" w:hAnsiTheme="majorHAnsi" w:cstheme="majorHAnsi"/>
        </w:rPr>
        <w:t xml:space="preserve"> in Clark County, Nevada</w:t>
      </w:r>
      <w:r w:rsidRPr="00A7789B">
        <w:rPr>
          <w:rFonts w:asciiTheme="majorHAnsi" w:hAnsiTheme="majorHAnsi" w:cstheme="majorHAnsi"/>
        </w:rPr>
        <w:t xml:space="preserve">.  </w:t>
      </w:r>
    </w:p>
    <w:p w14:paraId="3523114B" w14:textId="77777777" w:rsidR="00B23744" w:rsidRDefault="00B23744" w:rsidP="00B23744">
      <w:pPr>
        <w:pStyle w:val="TableFigure"/>
        <w:spacing w:line="240" w:lineRule="auto"/>
        <w:rPr>
          <w:rFonts w:asciiTheme="majorHAnsi" w:eastAsia="Times New Roman" w:hAnsiTheme="majorHAnsi" w:cstheme="majorHAnsi"/>
          <w:color w:val="auto"/>
          <w:lang w:eastAsia="en-US"/>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55"/>
        <w:gridCol w:w="864"/>
        <w:gridCol w:w="649"/>
        <w:gridCol w:w="901"/>
        <w:gridCol w:w="1243"/>
        <w:gridCol w:w="1006"/>
        <w:gridCol w:w="720"/>
        <w:gridCol w:w="720"/>
        <w:gridCol w:w="720"/>
        <w:gridCol w:w="720"/>
      </w:tblGrid>
      <w:tr w:rsidR="00B23744" w:rsidRPr="00277654" w14:paraId="4558036D" w14:textId="77777777" w:rsidTr="008B5496">
        <w:trPr>
          <w:trHeight w:val="288"/>
        </w:trPr>
        <w:tc>
          <w:tcPr>
            <w:tcW w:w="742" w:type="dxa"/>
            <w:shd w:val="clear" w:color="auto" w:fill="auto"/>
            <w:noWrap/>
            <w:vAlign w:val="bottom"/>
            <w:hideMark/>
          </w:tcPr>
          <w:p w14:paraId="1D5B4776" w14:textId="77777777" w:rsidR="00B2374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p>
          <w:p w14:paraId="51D12BD8" w14:textId="77777777" w:rsidR="00B2374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r>
              <w:rPr>
                <w:rFonts w:ascii="Times New Roman" w:eastAsia="Times New Roman" w:hAnsi="Times New Roman" w:cs="Times New Roman"/>
                <w:b/>
                <w:bCs/>
                <w:color w:val="000000"/>
                <w:sz w:val="22"/>
                <w:szCs w:val="22"/>
                <w:lang w:eastAsia="en-US"/>
              </w:rPr>
              <w:t>AVM</w:t>
            </w:r>
          </w:p>
          <w:p w14:paraId="608BDD3A" w14:textId="77777777" w:rsidR="00B23744" w:rsidRPr="0027765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p>
        </w:tc>
        <w:tc>
          <w:tcPr>
            <w:tcW w:w="1255" w:type="dxa"/>
            <w:shd w:val="clear" w:color="auto" w:fill="auto"/>
            <w:noWrap/>
            <w:vAlign w:val="bottom"/>
            <w:hideMark/>
          </w:tcPr>
          <w:p w14:paraId="70B2D927" w14:textId="77777777" w:rsidR="00B2374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r w:rsidRPr="00277654">
              <w:rPr>
                <w:rFonts w:ascii="Times New Roman" w:eastAsia="Times New Roman" w:hAnsi="Times New Roman" w:cs="Times New Roman"/>
                <w:b/>
                <w:bCs/>
                <w:color w:val="000000"/>
                <w:sz w:val="22"/>
                <w:szCs w:val="22"/>
                <w:lang w:eastAsia="en-US"/>
              </w:rPr>
              <w:t>M</w:t>
            </w:r>
            <w:r>
              <w:rPr>
                <w:rFonts w:ascii="Times New Roman" w:eastAsia="Times New Roman" w:hAnsi="Times New Roman" w:cs="Times New Roman"/>
                <w:b/>
                <w:bCs/>
                <w:color w:val="000000"/>
                <w:sz w:val="22"/>
                <w:szCs w:val="22"/>
                <w:lang w:eastAsia="en-US"/>
              </w:rPr>
              <w:t>ean</w:t>
            </w:r>
          </w:p>
          <w:p w14:paraId="18419A44" w14:textId="77777777" w:rsidR="00B2374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r>
              <w:rPr>
                <w:rFonts w:ascii="Times New Roman" w:eastAsia="Times New Roman" w:hAnsi="Times New Roman" w:cs="Times New Roman"/>
                <w:b/>
                <w:bCs/>
                <w:color w:val="000000"/>
                <w:sz w:val="22"/>
                <w:szCs w:val="22"/>
                <w:lang w:eastAsia="en-US"/>
              </w:rPr>
              <w:t>Percentage</w:t>
            </w:r>
          </w:p>
          <w:p w14:paraId="27C7E82A" w14:textId="77777777" w:rsidR="00B23744" w:rsidRPr="0027765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r w:rsidRPr="00277654">
              <w:rPr>
                <w:rFonts w:ascii="Times New Roman" w:eastAsia="Times New Roman" w:hAnsi="Times New Roman" w:cs="Times New Roman"/>
                <w:b/>
                <w:bCs/>
                <w:color w:val="000000"/>
                <w:sz w:val="22"/>
                <w:szCs w:val="22"/>
                <w:lang w:eastAsia="en-US"/>
              </w:rPr>
              <w:t xml:space="preserve"> Error</w:t>
            </w:r>
          </w:p>
        </w:tc>
        <w:tc>
          <w:tcPr>
            <w:tcW w:w="864" w:type="dxa"/>
            <w:shd w:val="clear" w:color="auto" w:fill="auto"/>
            <w:noWrap/>
            <w:vAlign w:val="bottom"/>
            <w:hideMark/>
          </w:tcPr>
          <w:p w14:paraId="3B225558" w14:textId="77777777" w:rsidR="00B2374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p>
          <w:p w14:paraId="2F30F2C0" w14:textId="77777777" w:rsidR="00B2374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r>
              <w:rPr>
                <w:rFonts w:ascii="Times New Roman" w:eastAsia="Times New Roman" w:hAnsi="Times New Roman" w:cs="Times New Roman"/>
                <w:b/>
                <w:bCs/>
                <w:color w:val="000000"/>
                <w:sz w:val="22"/>
                <w:szCs w:val="22"/>
                <w:lang w:eastAsia="en-US"/>
              </w:rPr>
              <w:t>MAPE</w:t>
            </w:r>
          </w:p>
          <w:p w14:paraId="03DD8B2B" w14:textId="77777777" w:rsidR="00B23744" w:rsidRPr="0027765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p>
        </w:tc>
        <w:tc>
          <w:tcPr>
            <w:tcW w:w="649" w:type="dxa"/>
            <w:shd w:val="clear" w:color="auto" w:fill="auto"/>
            <w:noWrap/>
            <w:vAlign w:val="bottom"/>
            <w:hideMark/>
          </w:tcPr>
          <w:p w14:paraId="653094CF" w14:textId="6B7AE6D0" w:rsidR="00B23744" w:rsidRDefault="00153F40" w:rsidP="008B5496">
            <w:pPr>
              <w:spacing w:line="240" w:lineRule="auto"/>
              <w:ind w:firstLine="0"/>
              <w:jc w:val="center"/>
              <w:rPr>
                <w:rFonts w:ascii="Times New Roman" w:eastAsia="Times New Roman" w:hAnsi="Times New Roman" w:cs="Times New Roman"/>
                <w:b/>
                <w:bCs/>
                <w:color w:val="000000"/>
                <w:sz w:val="22"/>
                <w:szCs w:val="22"/>
                <w:lang w:eastAsia="en-US"/>
              </w:rPr>
            </w:pPr>
            <w:r>
              <w:rPr>
                <w:rFonts w:ascii="Times New Roman" w:eastAsia="Times New Roman" w:hAnsi="Times New Roman" w:cs="Times New Roman"/>
                <w:b/>
                <w:bCs/>
                <w:color w:val="000000"/>
                <w:sz w:val="22"/>
                <w:szCs w:val="22"/>
                <w:lang w:eastAsia="en-US"/>
              </w:rPr>
              <w:t>Obs</w:t>
            </w:r>
          </w:p>
          <w:p w14:paraId="13C9BF24" w14:textId="799EE46F" w:rsidR="00B23744" w:rsidRDefault="00637701" w:rsidP="008B5496">
            <w:pPr>
              <w:spacing w:line="240" w:lineRule="auto"/>
              <w:ind w:firstLine="0"/>
              <w:jc w:val="center"/>
              <w:rPr>
                <w:rFonts w:ascii="Times New Roman" w:eastAsia="Times New Roman" w:hAnsi="Times New Roman" w:cs="Times New Roman"/>
                <w:b/>
                <w:bCs/>
                <w:color w:val="000000"/>
                <w:sz w:val="22"/>
                <w:szCs w:val="22"/>
                <w:lang w:eastAsia="en-US"/>
              </w:rPr>
            </w:pPr>
            <w:r>
              <w:rPr>
                <w:rFonts w:ascii="Times New Roman" w:eastAsia="Times New Roman" w:hAnsi="Times New Roman" w:cs="Times New Roman"/>
                <w:b/>
                <w:bCs/>
                <w:color w:val="000000"/>
                <w:sz w:val="22"/>
                <w:szCs w:val="22"/>
                <w:lang w:eastAsia="en-US"/>
              </w:rPr>
              <w:t>St Dev</w:t>
            </w:r>
          </w:p>
          <w:p w14:paraId="3DB677CF" w14:textId="77777777" w:rsidR="00B23744" w:rsidRPr="0027765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p>
        </w:tc>
        <w:tc>
          <w:tcPr>
            <w:tcW w:w="901" w:type="dxa"/>
            <w:shd w:val="clear" w:color="auto" w:fill="auto"/>
            <w:noWrap/>
            <w:vAlign w:val="bottom"/>
            <w:hideMark/>
          </w:tcPr>
          <w:p w14:paraId="1C1F0EBA" w14:textId="77777777" w:rsidR="00B2374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r w:rsidRPr="00277654">
              <w:rPr>
                <w:rFonts w:ascii="Times New Roman" w:eastAsia="Times New Roman" w:hAnsi="Times New Roman" w:cs="Times New Roman"/>
                <w:b/>
                <w:bCs/>
                <w:color w:val="000000"/>
                <w:sz w:val="22"/>
                <w:szCs w:val="22"/>
                <w:lang w:eastAsia="en-US"/>
              </w:rPr>
              <w:t>F</w:t>
            </w:r>
            <w:r>
              <w:rPr>
                <w:rFonts w:ascii="Times New Roman" w:eastAsia="Times New Roman" w:hAnsi="Times New Roman" w:cs="Times New Roman"/>
                <w:b/>
                <w:bCs/>
                <w:color w:val="000000"/>
                <w:sz w:val="22"/>
                <w:szCs w:val="22"/>
                <w:lang w:eastAsia="en-US"/>
              </w:rPr>
              <w:t>ailure</w:t>
            </w:r>
          </w:p>
          <w:p w14:paraId="6E84B6D5" w14:textId="77777777" w:rsidR="00B23744" w:rsidRPr="0027765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r>
              <w:rPr>
                <w:rFonts w:ascii="Times New Roman" w:eastAsia="Times New Roman" w:hAnsi="Times New Roman" w:cs="Times New Roman"/>
                <w:b/>
                <w:bCs/>
                <w:color w:val="000000"/>
                <w:sz w:val="22"/>
                <w:szCs w:val="22"/>
                <w:lang w:eastAsia="en-US"/>
              </w:rPr>
              <w:t>Rate</w:t>
            </w:r>
            <w:r w:rsidRPr="00277654">
              <w:rPr>
                <w:rFonts w:ascii="Times New Roman" w:eastAsia="Times New Roman" w:hAnsi="Times New Roman" w:cs="Times New Roman"/>
                <w:b/>
                <w:bCs/>
                <w:color w:val="000000"/>
                <w:sz w:val="22"/>
                <w:szCs w:val="22"/>
                <w:lang w:eastAsia="en-US"/>
              </w:rPr>
              <w:t xml:space="preserve"> 10%</w:t>
            </w:r>
          </w:p>
        </w:tc>
        <w:tc>
          <w:tcPr>
            <w:tcW w:w="1243" w:type="dxa"/>
            <w:shd w:val="clear" w:color="auto" w:fill="auto"/>
            <w:noWrap/>
            <w:vAlign w:val="bottom"/>
            <w:hideMark/>
          </w:tcPr>
          <w:p w14:paraId="7466EB3B" w14:textId="77777777" w:rsidR="00B2374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r w:rsidRPr="00277654">
              <w:rPr>
                <w:rFonts w:ascii="Times New Roman" w:eastAsia="Times New Roman" w:hAnsi="Times New Roman" w:cs="Times New Roman"/>
                <w:b/>
                <w:bCs/>
                <w:color w:val="000000"/>
                <w:sz w:val="22"/>
                <w:szCs w:val="22"/>
                <w:lang w:eastAsia="en-US"/>
              </w:rPr>
              <w:t>F</w:t>
            </w:r>
            <w:r>
              <w:rPr>
                <w:rFonts w:ascii="Times New Roman" w:eastAsia="Times New Roman" w:hAnsi="Times New Roman" w:cs="Times New Roman"/>
                <w:b/>
                <w:bCs/>
                <w:color w:val="000000"/>
                <w:sz w:val="22"/>
                <w:szCs w:val="22"/>
                <w:lang w:eastAsia="en-US"/>
              </w:rPr>
              <w:t>ailure</w:t>
            </w:r>
          </w:p>
          <w:p w14:paraId="2B5B3F54" w14:textId="77777777" w:rsidR="00B23744" w:rsidRPr="0027765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r w:rsidRPr="00277654">
              <w:rPr>
                <w:rFonts w:ascii="Times New Roman" w:eastAsia="Times New Roman" w:hAnsi="Times New Roman" w:cs="Times New Roman"/>
                <w:b/>
                <w:bCs/>
                <w:color w:val="000000"/>
                <w:sz w:val="22"/>
                <w:szCs w:val="22"/>
                <w:lang w:eastAsia="en-US"/>
              </w:rPr>
              <w:t>Mag</w:t>
            </w:r>
            <w:r>
              <w:rPr>
                <w:rFonts w:ascii="Times New Roman" w:eastAsia="Times New Roman" w:hAnsi="Times New Roman" w:cs="Times New Roman"/>
                <w:b/>
                <w:bCs/>
                <w:color w:val="000000"/>
                <w:sz w:val="22"/>
                <w:szCs w:val="22"/>
                <w:lang w:eastAsia="en-US"/>
              </w:rPr>
              <w:t>nitude</w:t>
            </w:r>
            <w:r w:rsidRPr="00277654">
              <w:rPr>
                <w:rFonts w:ascii="Times New Roman" w:eastAsia="Times New Roman" w:hAnsi="Times New Roman" w:cs="Times New Roman"/>
                <w:b/>
                <w:bCs/>
                <w:color w:val="000000"/>
                <w:sz w:val="22"/>
                <w:szCs w:val="22"/>
                <w:lang w:eastAsia="en-US"/>
              </w:rPr>
              <w:t xml:space="preserve"> 10%</w:t>
            </w:r>
          </w:p>
        </w:tc>
        <w:tc>
          <w:tcPr>
            <w:tcW w:w="1006" w:type="dxa"/>
            <w:shd w:val="clear" w:color="auto" w:fill="auto"/>
            <w:noWrap/>
            <w:vAlign w:val="bottom"/>
            <w:hideMark/>
          </w:tcPr>
          <w:p w14:paraId="66994DF5" w14:textId="77777777" w:rsidR="00B2374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r w:rsidRPr="00277654">
              <w:rPr>
                <w:rFonts w:ascii="Times New Roman" w:eastAsia="Times New Roman" w:hAnsi="Times New Roman" w:cs="Times New Roman"/>
                <w:b/>
                <w:bCs/>
                <w:color w:val="000000"/>
                <w:sz w:val="22"/>
                <w:szCs w:val="22"/>
                <w:lang w:eastAsia="en-US"/>
              </w:rPr>
              <w:t>F</w:t>
            </w:r>
            <w:r>
              <w:rPr>
                <w:rFonts w:ascii="Times New Roman" w:eastAsia="Times New Roman" w:hAnsi="Times New Roman" w:cs="Times New Roman"/>
                <w:b/>
                <w:bCs/>
                <w:color w:val="000000"/>
                <w:sz w:val="22"/>
                <w:szCs w:val="22"/>
                <w:lang w:eastAsia="en-US"/>
              </w:rPr>
              <w:t>ailure</w:t>
            </w:r>
          </w:p>
          <w:p w14:paraId="2250A50B" w14:textId="77777777" w:rsidR="00B2374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r w:rsidRPr="00277654">
              <w:rPr>
                <w:rFonts w:ascii="Times New Roman" w:eastAsia="Times New Roman" w:hAnsi="Times New Roman" w:cs="Times New Roman"/>
                <w:b/>
                <w:bCs/>
                <w:color w:val="000000"/>
                <w:sz w:val="22"/>
                <w:szCs w:val="22"/>
                <w:lang w:eastAsia="en-US"/>
              </w:rPr>
              <w:t xml:space="preserve">MAPE </w:t>
            </w:r>
          </w:p>
          <w:p w14:paraId="0AD86633" w14:textId="77777777" w:rsidR="00B23744" w:rsidRPr="0027765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r w:rsidRPr="00277654">
              <w:rPr>
                <w:rFonts w:ascii="Times New Roman" w:eastAsia="Times New Roman" w:hAnsi="Times New Roman" w:cs="Times New Roman"/>
                <w:b/>
                <w:bCs/>
                <w:color w:val="000000"/>
                <w:sz w:val="22"/>
                <w:szCs w:val="22"/>
                <w:lang w:eastAsia="en-US"/>
              </w:rPr>
              <w:t>10%</w:t>
            </w:r>
          </w:p>
        </w:tc>
        <w:tc>
          <w:tcPr>
            <w:tcW w:w="720" w:type="dxa"/>
            <w:shd w:val="clear" w:color="auto" w:fill="auto"/>
            <w:noWrap/>
            <w:vAlign w:val="bottom"/>
            <w:hideMark/>
          </w:tcPr>
          <w:p w14:paraId="2AD565C8" w14:textId="77777777" w:rsidR="00B2374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p>
          <w:p w14:paraId="57AE666C" w14:textId="77777777" w:rsidR="00B2374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r>
              <w:rPr>
                <w:rFonts w:ascii="Times New Roman" w:eastAsia="Times New Roman" w:hAnsi="Times New Roman" w:cs="Times New Roman"/>
                <w:b/>
                <w:bCs/>
                <w:color w:val="000000"/>
                <w:sz w:val="22"/>
                <w:szCs w:val="22"/>
                <w:lang w:eastAsia="en-US"/>
              </w:rPr>
              <w:t>COV</w:t>
            </w:r>
          </w:p>
          <w:p w14:paraId="589C22FC" w14:textId="77777777" w:rsidR="00B23744" w:rsidRPr="0027765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p>
        </w:tc>
        <w:tc>
          <w:tcPr>
            <w:tcW w:w="720" w:type="dxa"/>
            <w:shd w:val="clear" w:color="auto" w:fill="auto"/>
            <w:noWrap/>
            <w:vAlign w:val="bottom"/>
            <w:hideMark/>
          </w:tcPr>
          <w:p w14:paraId="78F71102" w14:textId="77777777" w:rsidR="00B2374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p>
          <w:p w14:paraId="39547668" w14:textId="77777777" w:rsidR="00B2374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r>
              <w:rPr>
                <w:rFonts w:ascii="Times New Roman" w:eastAsia="Times New Roman" w:hAnsi="Times New Roman" w:cs="Times New Roman"/>
                <w:b/>
                <w:bCs/>
                <w:color w:val="000000"/>
                <w:sz w:val="22"/>
                <w:szCs w:val="22"/>
                <w:lang w:eastAsia="en-US"/>
              </w:rPr>
              <w:t>COD</w:t>
            </w:r>
          </w:p>
          <w:p w14:paraId="784F5735" w14:textId="77777777" w:rsidR="00B23744" w:rsidRPr="0027765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p>
        </w:tc>
        <w:tc>
          <w:tcPr>
            <w:tcW w:w="720" w:type="dxa"/>
            <w:shd w:val="clear" w:color="auto" w:fill="auto"/>
            <w:noWrap/>
            <w:vAlign w:val="bottom"/>
            <w:hideMark/>
          </w:tcPr>
          <w:p w14:paraId="16D18DE2" w14:textId="77777777" w:rsidR="00B2374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p>
          <w:p w14:paraId="003CD3DF" w14:textId="77777777" w:rsidR="00B2374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r>
              <w:rPr>
                <w:rFonts w:ascii="Times New Roman" w:eastAsia="Times New Roman" w:hAnsi="Times New Roman" w:cs="Times New Roman"/>
                <w:b/>
                <w:bCs/>
                <w:color w:val="000000"/>
                <w:sz w:val="22"/>
                <w:szCs w:val="22"/>
                <w:lang w:eastAsia="en-US"/>
              </w:rPr>
              <w:t>PRD</w:t>
            </w:r>
          </w:p>
          <w:p w14:paraId="3898D167" w14:textId="77777777" w:rsidR="00B23744" w:rsidRPr="0027765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p>
        </w:tc>
        <w:tc>
          <w:tcPr>
            <w:tcW w:w="720" w:type="dxa"/>
            <w:shd w:val="clear" w:color="auto" w:fill="auto"/>
            <w:noWrap/>
            <w:vAlign w:val="bottom"/>
            <w:hideMark/>
          </w:tcPr>
          <w:p w14:paraId="59A62985" w14:textId="77777777" w:rsidR="00B2374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p>
          <w:p w14:paraId="5693B805" w14:textId="77777777" w:rsidR="00B2374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r>
              <w:rPr>
                <w:rFonts w:ascii="Times New Roman" w:eastAsia="Times New Roman" w:hAnsi="Times New Roman" w:cs="Times New Roman"/>
                <w:b/>
                <w:bCs/>
                <w:color w:val="000000"/>
                <w:sz w:val="22"/>
                <w:szCs w:val="22"/>
                <w:lang w:eastAsia="en-US"/>
              </w:rPr>
              <w:t>PRB</w:t>
            </w:r>
          </w:p>
          <w:p w14:paraId="7C077673" w14:textId="77777777" w:rsidR="00B23744" w:rsidRPr="00277654" w:rsidRDefault="00B23744" w:rsidP="008B5496">
            <w:pPr>
              <w:spacing w:line="240" w:lineRule="auto"/>
              <w:ind w:firstLine="0"/>
              <w:jc w:val="center"/>
              <w:rPr>
                <w:rFonts w:ascii="Times New Roman" w:eastAsia="Times New Roman" w:hAnsi="Times New Roman" w:cs="Times New Roman"/>
                <w:b/>
                <w:bCs/>
                <w:color w:val="000000"/>
                <w:sz w:val="22"/>
                <w:szCs w:val="22"/>
                <w:lang w:eastAsia="en-US"/>
              </w:rPr>
            </w:pPr>
          </w:p>
        </w:tc>
      </w:tr>
      <w:tr w:rsidR="00B23744" w:rsidRPr="00277654" w14:paraId="6E2B4685" w14:textId="77777777" w:rsidTr="008B5496">
        <w:trPr>
          <w:trHeight w:val="288"/>
        </w:trPr>
        <w:tc>
          <w:tcPr>
            <w:tcW w:w="742" w:type="dxa"/>
            <w:shd w:val="clear" w:color="auto" w:fill="auto"/>
            <w:noWrap/>
            <w:vAlign w:val="bottom"/>
            <w:hideMark/>
          </w:tcPr>
          <w:p w14:paraId="5C884AEE"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w:t>
            </w:r>
          </w:p>
        </w:tc>
        <w:tc>
          <w:tcPr>
            <w:tcW w:w="1255" w:type="dxa"/>
            <w:shd w:val="clear" w:color="auto" w:fill="auto"/>
            <w:noWrap/>
            <w:vAlign w:val="bottom"/>
            <w:hideMark/>
          </w:tcPr>
          <w:p w14:paraId="73AF8099"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-2.67</w:t>
            </w:r>
          </w:p>
        </w:tc>
        <w:tc>
          <w:tcPr>
            <w:tcW w:w="864" w:type="dxa"/>
            <w:shd w:val="clear" w:color="auto" w:fill="auto"/>
            <w:noWrap/>
            <w:vAlign w:val="bottom"/>
            <w:hideMark/>
          </w:tcPr>
          <w:p w14:paraId="2EE55C41"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3.60</w:t>
            </w:r>
          </w:p>
        </w:tc>
        <w:tc>
          <w:tcPr>
            <w:tcW w:w="649" w:type="dxa"/>
            <w:shd w:val="clear" w:color="auto" w:fill="auto"/>
            <w:noWrap/>
            <w:vAlign w:val="bottom"/>
            <w:hideMark/>
          </w:tcPr>
          <w:p w14:paraId="3010E808"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5.50</w:t>
            </w:r>
          </w:p>
        </w:tc>
        <w:tc>
          <w:tcPr>
            <w:tcW w:w="901" w:type="dxa"/>
            <w:shd w:val="clear" w:color="auto" w:fill="auto"/>
            <w:noWrap/>
            <w:vAlign w:val="bottom"/>
            <w:hideMark/>
          </w:tcPr>
          <w:p w14:paraId="13A23A26"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5.11</w:t>
            </w:r>
          </w:p>
        </w:tc>
        <w:tc>
          <w:tcPr>
            <w:tcW w:w="1243" w:type="dxa"/>
            <w:shd w:val="clear" w:color="auto" w:fill="auto"/>
            <w:noWrap/>
            <w:vAlign w:val="bottom"/>
            <w:hideMark/>
          </w:tcPr>
          <w:p w14:paraId="519D82F8"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15.56</w:t>
            </w:r>
          </w:p>
        </w:tc>
        <w:tc>
          <w:tcPr>
            <w:tcW w:w="1006" w:type="dxa"/>
            <w:shd w:val="clear" w:color="auto" w:fill="auto"/>
            <w:noWrap/>
            <w:vAlign w:val="bottom"/>
            <w:hideMark/>
          </w:tcPr>
          <w:p w14:paraId="22B642A8"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11.82</w:t>
            </w:r>
          </w:p>
        </w:tc>
        <w:tc>
          <w:tcPr>
            <w:tcW w:w="720" w:type="dxa"/>
            <w:shd w:val="clear" w:color="auto" w:fill="auto"/>
            <w:noWrap/>
            <w:vAlign w:val="bottom"/>
            <w:hideMark/>
          </w:tcPr>
          <w:p w14:paraId="4527E359"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0.056</w:t>
            </w:r>
          </w:p>
        </w:tc>
        <w:tc>
          <w:tcPr>
            <w:tcW w:w="720" w:type="dxa"/>
            <w:shd w:val="clear" w:color="auto" w:fill="auto"/>
            <w:noWrap/>
            <w:vAlign w:val="bottom"/>
            <w:hideMark/>
          </w:tcPr>
          <w:p w14:paraId="2649AFA4"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3.397</w:t>
            </w:r>
          </w:p>
        </w:tc>
        <w:tc>
          <w:tcPr>
            <w:tcW w:w="720" w:type="dxa"/>
            <w:shd w:val="clear" w:color="auto" w:fill="auto"/>
            <w:noWrap/>
            <w:vAlign w:val="bottom"/>
            <w:hideMark/>
          </w:tcPr>
          <w:p w14:paraId="73E3E60A"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0.994</w:t>
            </w:r>
          </w:p>
        </w:tc>
        <w:tc>
          <w:tcPr>
            <w:tcW w:w="720" w:type="dxa"/>
            <w:shd w:val="clear" w:color="auto" w:fill="auto"/>
            <w:noWrap/>
            <w:vAlign w:val="bottom"/>
            <w:hideMark/>
          </w:tcPr>
          <w:p w14:paraId="08FD0812"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0.010</w:t>
            </w:r>
          </w:p>
        </w:tc>
      </w:tr>
      <w:tr w:rsidR="00B23744" w:rsidRPr="00277654" w14:paraId="07AB2843" w14:textId="77777777" w:rsidTr="008B5496">
        <w:trPr>
          <w:trHeight w:val="288"/>
        </w:trPr>
        <w:tc>
          <w:tcPr>
            <w:tcW w:w="742" w:type="dxa"/>
            <w:shd w:val="clear" w:color="auto" w:fill="auto"/>
            <w:noWrap/>
            <w:vAlign w:val="bottom"/>
            <w:hideMark/>
          </w:tcPr>
          <w:p w14:paraId="0D3D4E10"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2</w:t>
            </w:r>
          </w:p>
        </w:tc>
        <w:tc>
          <w:tcPr>
            <w:tcW w:w="1255" w:type="dxa"/>
            <w:shd w:val="clear" w:color="auto" w:fill="auto"/>
            <w:noWrap/>
            <w:vAlign w:val="bottom"/>
            <w:hideMark/>
          </w:tcPr>
          <w:p w14:paraId="03E8651A"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-0.06</w:t>
            </w:r>
          </w:p>
        </w:tc>
        <w:tc>
          <w:tcPr>
            <w:tcW w:w="864" w:type="dxa"/>
            <w:shd w:val="clear" w:color="auto" w:fill="auto"/>
            <w:noWrap/>
            <w:vAlign w:val="bottom"/>
            <w:hideMark/>
          </w:tcPr>
          <w:p w14:paraId="057B4D26"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2.36</w:t>
            </w:r>
          </w:p>
        </w:tc>
        <w:tc>
          <w:tcPr>
            <w:tcW w:w="649" w:type="dxa"/>
            <w:shd w:val="clear" w:color="auto" w:fill="auto"/>
            <w:noWrap/>
            <w:vAlign w:val="bottom"/>
            <w:hideMark/>
          </w:tcPr>
          <w:p w14:paraId="664B4ED8"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5.56</w:t>
            </w:r>
          </w:p>
        </w:tc>
        <w:tc>
          <w:tcPr>
            <w:tcW w:w="901" w:type="dxa"/>
            <w:shd w:val="clear" w:color="auto" w:fill="auto"/>
            <w:noWrap/>
            <w:vAlign w:val="bottom"/>
            <w:hideMark/>
          </w:tcPr>
          <w:p w14:paraId="721C9C77"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3.94</w:t>
            </w:r>
          </w:p>
        </w:tc>
        <w:tc>
          <w:tcPr>
            <w:tcW w:w="1243" w:type="dxa"/>
            <w:shd w:val="clear" w:color="auto" w:fill="auto"/>
            <w:noWrap/>
            <w:vAlign w:val="bottom"/>
            <w:hideMark/>
          </w:tcPr>
          <w:p w14:paraId="4EAB85EE"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18.17</w:t>
            </w:r>
          </w:p>
        </w:tc>
        <w:tc>
          <w:tcPr>
            <w:tcW w:w="1006" w:type="dxa"/>
            <w:shd w:val="clear" w:color="auto" w:fill="auto"/>
            <w:noWrap/>
            <w:vAlign w:val="bottom"/>
            <w:hideMark/>
          </w:tcPr>
          <w:p w14:paraId="253DC950"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14.21</w:t>
            </w:r>
          </w:p>
        </w:tc>
        <w:tc>
          <w:tcPr>
            <w:tcW w:w="720" w:type="dxa"/>
            <w:shd w:val="clear" w:color="auto" w:fill="auto"/>
            <w:noWrap/>
            <w:vAlign w:val="bottom"/>
            <w:hideMark/>
          </w:tcPr>
          <w:p w14:paraId="4E60D156"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0.056</w:t>
            </w:r>
          </w:p>
        </w:tc>
        <w:tc>
          <w:tcPr>
            <w:tcW w:w="720" w:type="dxa"/>
            <w:shd w:val="clear" w:color="auto" w:fill="auto"/>
            <w:noWrap/>
            <w:vAlign w:val="bottom"/>
            <w:hideMark/>
          </w:tcPr>
          <w:p w14:paraId="734BB0D2"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3.363</w:t>
            </w:r>
          </w:p>
        </w:tc>
        <w:tc>
          <w:tcPr>
            <w:tcW w:w="720" w:type="dxa"/>
            <w:shd w:val="clear" w:color="auto" w:fill="auto"/>
            <w:noWrap/>
            <w:vAlign w:val="bottom"/>
            <w:hideMark/>
          </w:tcPr>
          <w:p w14:paraId="39CB6DAA"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0.995</w:t>
            </w:r>
          </w:p>
        </w:tc>
        <w:tc>
          <w:tcPr>
            <w:tcW w:w="720" w:type="dxa"/>
            <w:shd w:val="clear" w:color="auto" w:fill="auto"/>
            <w:noWrap/>
            <w:vAlign w:val="bottom"/>
            <w:hideMark/>
          </w:tcPr>
          <w:p w14:paraId="4C3AD285"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val="en" w:eastAsia="en-US"/>
              </w:rPr>
              <w:t>0.010</w:t>
            </w:r>
          </w:p>
        </w:tc>
      </w:tr>
      <w:tr w:rsidR="00B23744" w:rsidRPr="00277654" w14:paraId="58B2F7FE" w14:textId="77777777" w:rsidTr="008B5496">
        <w:trPr>
          <w:trHeight w:val="288"/>
        </w:trPr>
        <w:tc>
          <w:tcPr>
            <w:tcW w:w="742" w:type="dxa"/>
            <w:shd w:val="clear" w:color="auto" w:fill="auto"/>
            <w:noWrap/>
            <w:vAlign w:val="bottom"/>
            <w:hideMark/>
          </w:tcPr>
          <w:p w14:paraId="4C34540D"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3</w:t>
            </w:r>
          </w:p>
        </w:tc>
        <w:tc>
          <w:tcPr>
            <w:tcW w:w="1255" w:type="dxa"/>
            <w:shd w:val="clear" w:color="auto" w:fill="auto"/>
            <w:noWrap/>
            <w:vAlign w:val="bottom"/>
            <w:hideMark/>
          </w:tcPr>
          <w:p w14:paraId="0E895C07"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1.01</w:t>
            </w:r>
          </w:p>
        </w:tc>
        <w:tc>
          <w:tcPr>
            <w:tcW w:w="864" w:type="dxa"/>
            <w:shd w:val="clear" w:color="auto" w:fill="auto"/>
            <w:noWrap/>
            <w:vAlign w:val="bottom"/>
            <w:hideMark/>
          </w:tcPr>
          <w:p w14:paraId="469C4233"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2.22</w:t>
            </w:r>
          </w:p>
        </w:tc>
        <w:tc>
          <w:tcPr>
            <w:tcW w:w="649" w:type="dxa"/>
            <w:shd w:val="clear" w:color="auto" w:fill="auto"/>
            <w:noWrap/>
            <w:vAlign w:val="bottom"/>
            <w:hideMark/>
          </w:tcPr>
          <w:p w14:paraId="73A46734"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5.96</w:t>
            </w:r>
          </w:p>
        </w:tc>
        <w:tc>
          <w:tcPr>
            <w:tcW w:w="901" w:type="dxa"/>
            <w:shd w:val="clear" w:color="auto" w:fill="auto"/>
            <w:noWrap/>
            <w:vAlign w:val="bottom"/>
            <w:hideMark/>
          </w:tcPr>
          <w:p w14:paraId="05183D71"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6.20</w:t>
            </w:r>
          </w:p>
        </w:tc>
        <w:tc>
          <w:tcPr>
            <w:tcW w:w="1243" w:type="dxa"/>
            <w:shd w:val="clear" w:color="auto" w:fill="auto"/>
            <w:noWrap/>
            <w:vAlign w:val="bottom"/>
            <w:hideMark/>
          </w:tcPr>
          <w:p w14:paraId="0DF9BBCC"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17.16</w:t>
            </w:r>
          </w:p>
        </w:tc>
        <w:tc>
          <w:tcPr>
            <w:tcW w:w="1006" w:type="dxa"/>
            <w:shd w:val="clear" w:color="auto" w:fill="auto"/>
            <w:noWrap/>
            <w:vAlign w:val="bottom"/>
            <w:hideMark/>
          </w:tcPr>
          <w:p w14:paraId="40A626E0"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Calibri"/>
                <w:color w:val="000000"/>
                <w:sz w:val="22"/>
                <w:szCs w:val="22"/>
                <w:lang w:val="en" w:eastAsia="en-US"/>
              </w:rPr>
              <w:t>13.84</w:t>
            </w:r>
          </w:p>
        </w:tc>
        <w:tc>
          <w:tcPr>
            <w:tcW w:w="720" w:type="dxa"/>
            <w:shd w:val="clear" w:color="auto" w:fill="auto"/>
            <w:noWrap/>
            <w:vAlign w:val="bottom"/>
            <w:hideMark/>
          </w:tcPr>
          <w:p w14:paraId="412E27D5"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0.059</w:t>
            </w:r>
          </w:p>
        </w:tc>
        <w:tc>
          <w:tcPr>
            <w:tcW w:w="720" w:type="dxa"/>
            <w:shd w:val="clear" w:color="auto" w:fill="auto"/>
            <w:noWrap/>
            <w:vAlign w:val="bottom"/>
            <w:hideMark/>
          </w:tcPr>
          <w:p w14:paraId="22BAE2A8"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3.418</w:t>
            </w:r>
          </w:p>
        </w:tc>
        <w:tc>
          <w:tcPr>
            <w:tcW w:w="720" w:type="dxa"/>
            <w:shd w:val="clear" w:color="auto" w:fill="auto"/>
            <w:noWrap/>
            <w:vAlign w:val="bottom"/>
            <w:hideMark/>
          </w:tcPr>
          <w:p w14:paraId="76961D6C"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0.995</w:t>
            </w:r>
          </w:p>
        </w:tc>
        <w:tc>
          <w:tcPr>
            <w:tcW w:w="720" w:type="dxa"/>
            <w:shd w:val="clear" w:color="auto" w:fill="auto"/>
            <w:noWrap/>
            <w:vAlign w:val="bottom"/>
            <w:hideMark/>
          </w:tcPr>
          <w:p w14:paraId="77F3A2A1"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val="en" w:eastAsia="en-US"/>
              </w:rPr>
              <w:t>0.012</w:t>
            </w:r>
          </w:p>
        </w:tc>
      </w:tr>
      <w:tr w:rsidR="00B23744" w:rsidRPr="00277654" w14:paraId="00D4C729" w14:textId="77777777" w:rsidTr="008B5496">
        <w:trPr>
          <w:trHeight w:val="288"/>
        </w:trPr>
        <w:tc>
          <w:tcPr>
            <w:tcW w:w="742" w:type="dxa"/>
            <w:shd w:val="clear" w:color="auto" w:fill="auto"/>
            <w:noWrap/>
            <w:vAlign w:val="bottom"/>
            <w:hideMark/>
          </w:tcPr>
          <w:p w14:paraId="64E0AEB4"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4</w:t>
            </w:r>
          </w:p>
        </w:tc>
        <w:tc>
          <w:tcPr>
            <w:tcW w:w="1255" w:type="dxa"/>
            <w:shd w:val="clear" w:color="auto" w:fill="auto"/>
            <w:noWrap/>
            <w:vAlign w:val="bottom"/>
            <w:hideMark/>
          </w:tcPr>
          <w:p w14:paraId="1A9B0AA8"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1.03</w:t>
            </w:r>
          </w:p>
        </w:tc>
        <w:tc>
          <w:tcPr>
            <w:tcW w:w="864" w:type="dxa"/>
            <w:shd w:val="clear" w:color="auto" w:fill="auto"/>
            <w:noWrap/>
            <w:vAlign w:val="bottom"/>
            <w:hideMark/>
          </w:tcPr>
          <w:p w14:paraId="48F48BA6"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2.20</w:t>
            </w:r>
          </w:p>
        </w:tc>
        <w:tc>
          <w:tcPr>
            <w:tcW w:w="649" w:type="dxa"/>
            <w:shd w:val="clear" w:color="auto" w:fill="auto"/>
            <w:noWrap/>
            <w:vAlign w:val="bottom"/>
            <w:hideMark/>
          </w:tcPr>
          <w:p w14:paraId="689E371E"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6.04</w:t>
            </w:r>
          </w:p>
        </w:tc>
        <w:tc>
          <w:tcPr>
            <w:tcW w:w="901" w:type="dxa"/>
            <w:shd w:val="clear" w:color="auto" w:fill="auto"/>
            <w:noWrap/>
            <w:vAlign w:val="bottom"/>
            <w:hideMark/>
          </w:tcPr>
          <w:p w14:paraId="18B5759C"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6.20</w:t>
            </w:r>
          </w:p>
        </w:tc>
        <w:tc>
          <w:tcPr>
            <w:tcW w:w="1243" w:type="dxa"/>
            <w:shd w:val="clear" w:color="auto" w:fill="auto"/>
            <w:noWrap/>
            <w:vAlign w:val="bottom"/>
            <w:hideMark/>
          </w:tcPr>
          <w:p w14:paraId="046D90E1"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17.32</w:t>
            </w:r>
          </w:p>
        </w:tc>
        <w:tc>
          <w:tcPr>
            <w:tcW w:w="1006" w:type="dxa"/>
            <w:shd w:val="clear" w:color="auto" w:fill="auto"/>
            <w:noWrap/>
            <w:vAlign w:val="bottom"/>
            <w:hideMark/>
          </w:tcPr>
          <w:p w14:paraId="7A5BCBD8"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13.41</w:t>
            </w:r>
          </w:p>
        </w:tc>
        <w:tc>
          <w:tcPr>
            <w:tcW w:w="720" w:type="dxa"/>
            <w:shd w:val="clear" w:color="auto" w:fill="auto"/>
            <w:noWrap/>
            <w:vAlign w:val="bottom"/>
            <w:hideMark/>
          </w:tcPr>
          <w:p w14:paraId="2EA821F1"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0.060</w:t>
            </w:r>
          </w:p>
        </w:tc>
        <w:tc>
          <w:tcPr>
            <w:tcW w:w="720" w:type="dxa"/>
            <w:shd w:val="clear" w:color="auto" w:fill="auto"/>
            <w:noWrap/>
            <w:vAlign w:val="bottom"/>
            <w:hideMark/>
          </w:tcPr>
          <w:p w14:paraId="032AF9CA"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3.398</w:t>
            </w:r>
          </w:p>
        </w:tc>
        <w:tc>
          <w:tcPr>
            <w:tcW w:w="720" w:type="dxa"/>
            <w:shd w:val="clear" w:color="auto" w:fill="auto"/>
            <w:noWrap/>
            <w:vAlign w:val="bottom"/>
            <w:hideMark/>
          </w:tcPr>
          <w:p w14:paraId="22BD68B1"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0.995</w:t>
            </w:r>
          </w:p>
        </w:tc>
        <w:tc>
          <w:tcPr>
            <w:tcW w:w="720" w:type="dxa"/>
            <w:shd w:val="clear" w:color="auto" w:fill="auto"/>
            <w:noWrap/>
            <w:vAlign w:val="bottom"/>
            <w:hideMark/>
          </w:tcPr>
          <w:p w14:paraId="57660B85"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val="en" w:eastAsia="en-US"/>
              </w:rPr>
              <w:t>0.013</w:t>
            </w:r>
          </w:p>
        </w:tc>
      </w:tr>
      <w:tr w:rsidR="00B23744" w:rsidRPr="00277654" w14:paraId="004CB4EC" w14:textId="77777777" w:rsidTr="008B5496">
        <w:trPr>
          <w:trHeight w:val="288"/>
        </w:trPr>
        <w:tc>
          <w:tcPr>
            <w:tcW w:w="742" w:type="dxa"/>
            <w:shd w:val="clear" w:color="auto" w:fill="auto"/>
            <w:noWrap/>
            <w:vAlign w:val="bottom"/>
            <w:hideMark/>
          </w:tcPr>
          <w:p w14:paraId="7DE91B33"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5</w:t>
            </w:r>
          </w:p>
        </w:tc>
        <w:tc>
          <w:tcPr>
            <w:tcW w:w="1255" w:type="dxa"/>
            <w:shd w:val="clear" w:color="auto" w:fill="auto"/>
            <w:noWrap/>
            <w:vAlign w:val="bottom"/>
            <w:hideMark/>
          </w:tcPr>
          <w:p w14:paraId="72C57347"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-2.83</w:t>
            </w:r>
          </w:p>
        </w:tc>
        <w:tc>
          <w:tcPr>
            <w:tcW w:w="864" w:type="dxa"/>
            <w:shd w:val="clear" w:color="auto" w:fill="auto"/>
            <w:noWrap/>
            <w:vAlign w:val="bottom"/>
            <w:hideMark/>
          </w:tcPr>
          <w:p w14:paraId="1BE46AFF"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4.41</w:t>
            </w:r>
          </w:p>
        </w:tc>
        <w:tc>
          <w:tcPr>
            <w:tcW w:w="649" w:type="dxa"/>
            <w:shd w:val="clear" w:color="auto" w:fill="auto"/>
            <w:noWrap/>
            <w:vAlign w:val="bottom"/>
            <w:hideMark/>
          </w:tcPr>
          <w:p w14:paraId="24E98A63"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6.48</w:t>
            </w:r>
          </w:p>
        </w:tc>
        <w:tc>
          <w:tcPr>
            <w:tcW w:w="901" w:type="dxa"/>
            <w:shd w:val="clear" w:color="auto" w:fill="auto"/>
            <w:noWrap/>
            <w:vAlign w:val="bottom"/>
            <w:hideMark/>
          </w:tcPr>
          <w:p w14:paraId="2E6EB1F6"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8.72</w:t>
            </w:r>
          </w:p>
        </w:tc>
        <w:tc>
          <w:tcPr>
            <w:tcW w:w="1243" w:type="dxa"/>
            <w:shd w:val="clear" w:color="auto" w:fill="auto"/>
            <w:noWrap/>
            <w:vAlign w:val="bottom"/>
            <w:hideMark/>
          </w:tcPr>
          <w:p w14:paraId="67ADF478"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16.09</w:t>
            </w:r>
          </w:p>
        </w:tc>
        <w:tc>
          <w:tcPr>
            <w:tcW w:w="1006" w:type="dxa"/>
            <w:shd w:val="clear" w:color="auto" w:fill="auto"/>
            <w:noWrap/>
            <w:vAlign w:val="bottom"/>
            <w:hideMark/>
          </w:tcPr>
          <w:p w14:paraId="17889216"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13.03</w:t>
            </w:r>
          </w:p>
        </w:tc>
        <w:tc>
          <w:tcPr>
            <w:tcW w:w="720" w:type="dxa"/>
            <w:shd w:val="clear" w:color="auto" w:fill="auto"/>
            <w:noWrap/>
            <w:vAlign w:val="bottom"/>
            <w:hideMark/>
          </w:tcPr>
          <w:p w14:paraId="6D591E72"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0.067</w:t>
            </w:r>
          </w:p>
        </w:tc>
        <w:tc>
          <w:tcPr>
            <w:tcW w:w="720" w:type="dxa"/>
            <w:shd w:val="clear" w:color="auto" w:fill="auto"/>
            <w:noWrap/>
            <w:vAlign w:val="bottom"/>
            <w:hideMark/>
          </w:tcPr>
          <w:p w14:paraId="0EF1EE0F"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4.390</w:t>
            </w:r>
          </w:p>
        </w:tc>
        <w:tc>
          <w:tcPr>
            <w:tcW w:w="720" w:type="dxa"/>
            <w:shd w:val="clear" w:color="auto" w:fill="auto"/>
            <w:noWrap/>
            <w:vAlign w:val="bottom"/>
            <w:hideMark/>
          </w:tcPr>
          <w:p w14:paraId="724665A0"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0.988</w:t>
            </w:r>
          </w:p>
        </w:tc>
        <w:tc>
          <w:tcPr>
            <w:tcW w:w="720" w:type="dxa"/>
            <w:shd w:val="clear" w:color="auto" w:fill="auto"/>
            <w:noWrap/>
            <w:vAlign w:val="bottom"/>
            <w:hideMark/>
          </w:tcPr>
          <w:p w14:paraId="11B5A377"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val="en" w:eastAsia="en-US"/>
              </w:rPr>
              <w:t>0.023</w:t>
            </w:r>
          </w:p>
        </w:tc>
      </w:tr>
      <w:tr w:rsidR="00B23744" w:rsidRPr="00277654" w14:paraId="2D9C28D8" w14:textId="77777777" w:rsidTr="008B5496">
        <w:trPr>
          <w:trHeight w:val="288"/>
        </w:trPr>
        <w:tc>
          <w:tcPr>
            <w:tcW w:w="742" w:type="dxa"/>
            <w:shd w:val="clear" w:color="auto" w:fill="auto"/>
            <w:noWrap/>
            <w:vAlign w:val="bottom"/>
            <w:hideMark/>
          </w:tcPr>
          <w:p w14:paraId="19C5670D"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6</w:t>
            </w:r>
          </w:p>
        </w:tc>
        <w:tc>
          <w:tcPr>
            <w:tcW w:w="1255" w:type="dxa"/>
            <w:shd w:val="clear" w:color="auto" w:fill="auto"/>
            <w:noWrap/>
            <w:vAlign w:val="bottom"/>
            <w:hideMark/>
          </w:tcPr>
          <w:p w14:paraId="450F22BC"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-1.55</w:t>
            </w:r>
          </w:p>
        </w:tc>
        <w:tc>
          <w:tcPr>
            <w:tcW w:w="864" w:type="dxa"/>
            <w:shd w:val="clear" w:color="auto" w:fill="auto"/>
            <w:noWrap/>
            <w:vAlign w:val="bottom"/>
            <w:hideMark/>
          </w:tcPr>
          <w:p w14:paraId="70B4534D"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3.52</w:t>
            </w:r>
          </w:p>
        </w:tc>
        <w:tc>
          <w:tcPr>
            <w:tcW w:w="649" w:type="dxa"/>
            <w:shd w:val="clear" w:color="auto" w:fill="auto"/>
            <w:noWrap/>
            <w:vAlign w:val="bottom"/>
            <w:hideMark/>
          </w:tcPr>
          <w:p w14:paraId="50ECAE8D"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6.53</w:t>
            </w:r>
          </w:p>
        </w:tc>
        <w:tc>
          <w:tcPr>
            <w:tcW w:w="901" w:type="dxa"/>
            <w:shd w:val="clear" w:color="auto" w:fill="auto"/>
            <w:noWrap/>
            <w:vAlign w:val="bottom"/>
            <w:hideMark/>
          </w:tcPr>
          <w:p w14:paraId="22F1418C"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8.47</w:t>
            </w:r>
          </w:p>
        </w:tc>
        <w:tc>
          <w:tcPr>
            <w:tcW w:w="1243" w:type="dxa"/>
            <w:shd w:val="clear" w:color="auto" w:fill="auto"/>
            <w:noWrap/>
            <w:vAlign w:val="bottom"/>
            <w:hideMark/>
          </w:tcPr>
          <w:p w14:paraId="1C6C6809"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16.15</w:t>
            </w:r>
          </w:p>
        </w:tc>
        <w:tc>
          <w:tcPr>
            <w:tcW w:w="1006" w:type="dxa"/>
            <w:shd w:val="clear" w:color="auto" w:fill="auto"/>
            <w:noWrap/>
            <w:vAlign w:val="bottom"/>
            <w:hideMark/>
          </w:tcPr>
          <w:p w14:paraId="05DFE263"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13.17</w:t>
            </w:r>
          </w:p>
        </w:tc>
        <w:tc>
          <w:tcPr>
            <w:tcW w:w="720" w:type="dxa"/>
            <w:shd w:val="clear" w:color="auto" w:fill="auto"/>
            <w:noWrap/>
            <w:vAlign w:val="bottom"/>
            <w:hideMark/>
          </w:tcPr>
          <w:p w14:paraId="78FC9D85"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0.066</w:t>
            </w:r>
          </w:p>
        </w:tc>
        <w:tc>
          <w:tcPr>
            <w:tcW w:w="720" w:type="dxa"/>
            <w:shd w:val="clear" w:color="auto" w:fill="auto"/>
            <w:noWrap/>
            <w:vAlign w:val="bottom"/>
            <w:hideMark/>
          </w:tcPr>
          <w:p w14:paraId="0E33E1F1"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4.432</w:t>
            </w:r>
          </w:p>
        </w:tc>
        <w:tc>
          <w:tcPr>
            <w:tcW w:w="720" w:type="dxa"/>
            <w:shd w:val="clear" w:color="auto" w:fill="auto"/>
            <w:noWrap/>
            <w:vAlign w:val="bottom"/>
            <w:hideMark/>
          </w:tcPr>
          <w:p w14:paraId="776FA04E"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0.994</w:t>
            </w:r>
          </w:p>
        </w:tc>
        <w:tc>
          <w:tcPr>
            <w:tcW w:w="720" w:type="dxa"/>
            <w:shd w:val="clear" w:color="auto" w:fill="auto"/>
            <w:noWrap/>
            <w:vAlign w:val="bottom"/>
            <w:hideMark/>
          </w:tcPr>
          <w:p w14:paraId="1065D4AA"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val="en" w:eastAsia="en-US"/>
              </w:rPr>
              <w:t>0.024</w:t>
            </w:r>
          </w:p>
        </w:tc>
      </w:tr>
      <w:tr w:rsidR="00B23744" w:rsidRPr="00277654" w14:paraId="762DC458" w14:textId="77777777" w:rsidTr="008B5496">
        <w:trPr>
          <w:trHeight w:val="288"/>
        </w:trPr>
        <w:tc>
          <w:tcPr>
            <w:tcW w:w="742" w:type="dxa"/>
            <w:shd w:val="clear" w:color="auto" w:fill="auto"/>
            <w:noWrap/>
            <w:vAlign w:val="bottom"/>
            <w:hideMark/>
          </w:tcPr>
          <w:p w14:paraId="5AD7AAF4"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7</w:t>
            </w:r>
          </w:p>
        </w:tc>
        <w:tc>
          <w:tcPr>
            <w:tcW w:w="1255" w:type="dxa"/>
            <w:shd w:val="clear" w:color="auto" w:fill="auto"/>
            <w:noWrap/>
            <w:vAlign w:val="bottom"/>
            <w:hideMark/>
          </w:tcPr>
          <w:p w14:paraId="1EC62D3B"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0.39</w:t>
            </w:r>
          </w:p>
        </w:tc>
        <w:tc>
          <w:tcPr>
            <w:tcW w:w="864" w:type="dxa"/>
            <w:shd w:val="clear" w:color="auto" w:fill="auto"/>
            <w:noWrap/>
            <w:vAlign w:val="bottom"/>
            <w:hideMark/>
          </w:tcPr>
          <w:p w14:paraId="33C1FB10"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2.17</w:t>
            </w:r>
          </w:p>
        </w:tc>
        <w:tc>
          <w:tcPr>
            <w:tcW w:w="649" w:type="dxa"/>
            <w:shd w:val="clear" w:color="auto" w:fill="auto"/>
            <w:noWrap/>
            <w:vAlign w:val="bottom"/>
            <w:hideMark/>
          </w:tcPr>
          <w:p w14:paraId="33C96B5B"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8.06</w:t>
            </w:r>
          </w:p>
        </w:tc>
        <w:tc>
          <w:tcPr>
            <w:tcW w:w="901" w:type="dxa"/>
            <w:shd w:val="clear" w:color="auto" w:fill="auto"/>
            <w:noWrap/>
            <w:vAlign w:val="bottom"/>
            <w:hideMark/>
          </w:tcPr>
          <w:p w14:paraId="51285408"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11.06</w:t>
            </w:r>
          </w:p>
        </w:tc>
        <w:tc>
          <w:tcPr>
            <w:tcW w:w="1243" w:type="dxa"/>
            <w:shd w:val="clear" w:color="auto" w:fill="auto"/>
            <w:noWrap/>
            <w:vAlign w:val="bottom"/>
            <w:hideMark/>
          </w:tcPr>
          <w:p w14:paraId="132C85CF"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18.77</w:t>
            </w:r>
          </w:p>
        </w:tc>
        <w:tc>
          <w:tcPr>
            <w:tcW w:w="1006" w:type="dxa"/>
            <w:shd w:val="clear" w:color="auto" w:fill="auto"/>
            <w:noWrap/>
            <w:vAlign w:val="bottom"/>
            <w:hideMark/>
          </w:tcPr>
          <w:p w14:paraId="2E1613F1"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14.92</w:t>
            </w:r>
          </w:p>
        </w:tc>
        <w:tc>
          <w:tcPr>
            <w:tcW w:w="720" w:type="dxa"/>
            <w:shd w:val="clear" w:color="auto" w:fill="auto"/>
            <w:noWrap/>
            <w:vAlign w:val="bottom"/>
            <w:hideMark/>
          </w:tcPr>
          <w:p w14:paraId="2007D1CE"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0.080</w:t>
            </w:r>
          </w:p>
        </w:tc>
        <w:tc>
          <w:tcPr>
            <w:tcW w:w="720" w:type="dxa"/>
            <w:shd w:val="clear" w:color="auto" w:fill="auto"/>
            <w:noWrap/>
            <w:vAlign w:val="bottom"/>
            <w:hideMark/>
          </w:tcPr>
          <w:p w14:paraId="670889BA"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4.477</w:t>
            </w:r>
          </w:p>
        </w:tc>
        <w:tc>
          <w:tcPr>
            <w:tcW w:w="720" w:type="dxa"/>
            <w:shd w:val="clear" w:color="auto" w:fill="auto"/>
            <w:noWrap/>
            <w:vAlign w:val="bottom"/>
            <w:hideMark/>
          </w:tcPr>
          <w:p w14:paraId="4D987FC2"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1.002</w:t>
            </w:r>
          </w:p>
        </w:tc>
        <w:tc>
          <w:tcPr>
            <w:tcW w:w="720" w:type="dxa"/>
            <w:shd w:val="clear" w:color="auto" w:fill="auto"/>
            <w:noWrap/>
            <w:vAlign w:val="bottom"/>
            <w:hideMark/>
          </w:tcPr>
          <w:p w14:paraId="6E6A117C"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val="en" w:eastAsia="en-US"/>
              </w:rPr>
              <w:t>0.004</w:t>
            </w:r>
          </w:p>
        </w:tc>
      </w:tr>
      <w:tr w:rsidR="00B23744" w:rsidRPr="00277654" w14:paraId="5776D669" w14:textId="77777777" w:rsidTr="008B5496">
        <w:trPr>
          <w:trHeight w:val="288"/>
        </w:trPr>
        <w:tc>
          <w:tcPr>
            <w:tcW w:w="742" w:type="dxa"/>
            <w:shd w:val="clear" w:color="auto" w:fill="auto"/>
            <w:noWrap/>
            <w:vAlign w:val="bottom"/>
            <w:hideMark/>
          </w:tcPr>
          <w:p w14:paraId="54D25F60"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8</w:t>
            </w:r>
          </w:p>
        </w:tc>
        <w:tc>
          <w:tcPr>
            <w:tcW w:w="1255" w:type="dxa"/>
            <w:shd w:val="clear" w:color="auto" w:fill="auto"/>
            <w:noWrap/>
            <w:vAlign w:val="bottom"/>
            <w:hideMark/>
          </w:tcPr>
          <w:p w14:paraId="25A1C603"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-7.02</w:t>
            </w:r>
          </w:p>
        </w:tc>
        <w:tc>
          <w:tcPr>
            <w:tcW w:w="864" w:type="dxa"/>
            <w:shd w:val="clear" w:color="auto" w:fill="auto"/>
            <w:noWrap/>
            <w:vAlign w:val="bottom"/>
            <w:hideMark/>
          </w:tcPr>
          <w:p w14:paraId="4A36164A"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7.91</w:t>
            </w:r>
          </w:p>
        </w:tc>
        <w:tc>
          <w:tcPr>
            <w:tcW w:w="649" w:type="dxa"/>
            <w:shd w:val="clear" w:color="auto" w:fill="auto"/>
            <w:noWrap/>
            <w:vAlign w:val="bottom"/>
            <w:hideMark/>
          </w:tcPr>
          <w:p w14:paraId="1801ED60"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8.86</w:t>
            </w:r>
          </w:p>
        </w:tc>
        <w:tc>
          <w:tcPr>
            <w:tcW w:w="901" w:type="dxa"/>
            <w:shd w:val="clear" w:color="auto" w:fill="auto"/>
            <w:noWrap/>
            <w:vAlign w:val="bottom"/>
            <w:hideMark/>
          </w:tcPr>
          <w:p w14:paraId="1CFC4336"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37.89</w:t>
            </w:r>
          </w:p>
        </w:tc>
        <w:tc>
          <w:tcPr>
            <w:tcW w:w="1243" w:type="dxa"/>
            <w:shd w:val="clear" w:color="auto" w:fill="auto"/>
            <w:noWrap/>
            <w:vAlign w:val="bottom"/>
            <w:hideMark/>
          </w:tcPr>
          <w:p w14:paraId="14AB1F19"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15.57</w:t>
            </w:r>
          </w:p>
        </w:tc>
        <w:tc>
          <w:tcPr>
            <w:tcW w:w="1006" w:type="dxa"/>
            <w:shd w:val="clear" w:color="auto" w:fill="auto"/>
            <w:noWrap/>
            <w:vAlign w:val="bottom"/>
            <w:hideMark/>
          </w:tcPr>
          <w:p w14:paraId="03D4C991"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13.85</w:t>
            </w:r>
          </w:p>
        </w:tc>
        <w:tc>
          <w:tcPr>
            <w:tcW w:w="720" w:type="dxa"/>
            <w:shd w:val="clear" w:color="auto" w:fill="auto"/>
            <w:noWrap/>
            <w:vAlign w:val="bottom"/>
            <w:hideMark/>
          </w:tcPr>
          <w:p w14:paraId="15457E18"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0.095</w:t>
            </w:r>
          </w:p>
        </w:tc>
        <w:tc>
          <w:tcPr>
            <w:tcW w:w="720" w:type="dxa"/>
            <w:shd w:val="clear" w:color="auto" w:fill="auto"/>
            <w:noWrap/>
            <w:vAlign w:val="bottom"/>
            <w:hideMark/>
          </w:tcPr>
          <w:p w14:paraId="26031DF6"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6.834</w:t>
            </w:r>
          </w:p>
        </w:tc>
        <w:tc>
          <w:tcPr>
            <w:tcW w:w="720" w:type="dxa"/>
            <w:shd w:val="clear" w:color="auto" w:fill="auto"/>
            <w:noWrap/>
            <w:vAlign w:val="bottom"/>
            <w:hideMark/>
          </w:tcPr>
          <w:p w14:paraId="60A12588"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0.994</w:t>
            </w:r>
          </w:p>
        </w:tc>
        <w:tc>
          <w:tcPr>
            <w:tcW w:w="720" w:type="dxa"/>
            <w:shd w:val="clear" w:color="auto" w:fill="auto"/>
            <w:noWrap/>
            <w:vAlign w:val="bottom"/>
            <w:hideMark/>
          </w:tcPr>
          <w:p w14:paraId="2129B0F8"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val="en" w:eastAsia="en-US"/>
              </w:rPr>
              <w:t>0.035</w:t>
            </w:r>
          </w:p>
        </w:tc>
      </w:tr>
      <w:tr w:rsidR="00B23744" w:rsidRPr="00277654" w14:paraId="2D905FE7" w14:textId="77777777" w:rsidTr="008B5496">
        <w:trPr>
          <w:trHeight w:val="288"/>
        </w:trPr>
        <w:tc>
          <w:tcPr>
            <w:tcW w:w="742" w:type="dxa"/>
            <w:shd w:val="clear" w:color="auto" w:fill="auto"/>
            <w:noWrap/>
            <w:vAlign w:val="bottom"/>
            <w:hideMark/>
          </w:tcPr>
          <w:p w14:paraId="050C5C74"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9</w:t>
            </w:r>
          </w:p>
        </w:tc>
        <w:tc>
          <w:tcPr>
            <w:tcW w:w="1255" w:type="dxa"/>
            <w:shd w:val="clear" w:color="auto" w:fill="auto"/>
            <w:noWrap/>
            <w:vAlign w:val="bottom"/>
            <w:hideMark/>
          </w:tcPr>
          <w:p w14:paraId="46438D9B"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-3.30</w:t>
            </w:r>
          </w:p>
        </w:tc>
        <w:tc>
          <w:tcPr>
            <w:tcW w:w="864" w:type="dxa"/>
            <w:shd w:val="clear" w:color="auto" w:fill="auto"/>
            <w:noWrap/>
            <w:vAlign w:val="bottom"/>
            <w:hideMark/>
          </w:tcPr>
          <w:p w14:paraId="289C4761"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5.22</w:t>
            </w:r>
          </w:p>
        </w:tc>
        <w:tc>
          <w:tcPr>
            <w:tcW w:w="649" w:type="dxa"/>
            <w:shd w:val="clear" w:color="auto" w:fill="auto"/>
            <w:noWrap/>
            <w:vAlign w:val="bottom"/>
            <w:hideMark/>
          </w:tcPr>
          <w:p w14:paraId="0E6B2670"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8.94</w:t>
            </w:r>
          </w:p>
        </w:tc>
        <w:tc>
          <w:tcPr>
            <w:tcW w:w="901" w:type="dxa"/>
            <w:shd w:val="clear" w:color="auto" w:fill="auto"/>
            <w:noWrap/>
            <w:vAlign w:val="bottom"/>
            <w:hideMark/>
          </w:tcPr>
          <w:p w14:paraId="3FAE5421"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22.05</w:t>
            </w:r>
          </w:p>
        </w:tc>
        <w:tc>
          <w:tcPr>
            <w:tcW w:w="1243" w:type="dxa"/>
            <w:shd w:val="clear" w:color="auto" w:fill="auto"/>
            <w:noWrap/>
            <w:vAlign w:val="bottom"/>
            <w:hideMark/>
          </w:tcPr>
          <w:p w14:paraId="1DDE4DBB"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16.56</w:t>
            </w:r>
          </w:p>
        </w:tc>
        <w:tc>
          <w:tcPr>
            <w:tcW w:w="1006" w:type="dxa"/>
            <w:shd w:val="clear" w:color="auto" w:fill="auto"/>
            <w:noWrap/>
            <w:vAlign w:val="bottom"/>
            <w:hideMark/>
          </w:tcPr>
          <w:p w14:paraId="7458CD4E"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14.69</w:t>
            </w:r>
          </w:p>
        </w:tc>
        <w:tc>
          <w:tcPr>
            <w:tcW w:w="720" w:type="dxa"/>
            <w:shd w:val="clear" w:color="auto" w:fill="auto"/>
            <w:noWrap/>
            <w:vAlign w:val="bottom"/>
            <w:hideMark/>
          </w:tcPr>
          <w:p w14:paraId="0DC92964"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0.093</w:t>
            </w:r>
          </w:p>
        </w:tc>
        <w:tc>
          <w:tcPr>
            <w:tcW w:w="720" w:type="dxa"/>
            <w:shd w:val="clear" w:color="auto" w:fill="auto"/>
            <w:noWrap/>
            <w:vAlign w:val="bottom"/>
            <w:hideMark/>
          </w:tcPr>
          <w:p w14:paraId="7945A523"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6.415</w:t>
            </w:r>
          </w:p>
        </w:tc>
        <w:tc>
          <w:tcPr>
            <w:tcW w:w="720" w:type="dxa"/>
            <w:shd w:val="clear" w:color="auto" w:fill="auto"/>
            <w:noWrap/>
            <w:vAlign w:val="bottom"/>
            <w:hideMark/>
          </w:tcPr>
          <w:p w14:paraId="7FDD1850"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1.000</w:t>
            </w:r>
          </w:p>
        </w:tc>
        <w:tc>
          <w:tcPr>
            <w:tcW w:w="720" w:type="dxa"/>
            <w:shd w:val="clear" w:color="auto" w:fill="auto"/>
            <w:noWrap/>
            <w:vAlign w:val="bottom"/>
            <w:hideMark/>
          </w:tcPr>
          <w:p w14:paraId="5FFAA4C7"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val="en" w:eastAsia="en-US"/>
              </w:rPr>
              <w:t>0.023</w:t>
            </w:r>
          </w:p>
        </w:tc>
      </w:tr>
      <w:tr w:rsidR="00B23744" w:rsidRPr="00277654" w14:paraId="035C528D" w14:textId="77777777" w:rsidTr="008B5496">
        <w:trPr>
          <w:trHeight w:val="288"/>
        </w:trPr>
        <w:tc>
          <w:tcPr>
            <w:tcW w:w="742" w:type="dxa"/>
            <w:shd w:val="clear" w:color="auto" w:fill="auto"/>
            <w:noWrap/>
            <w:vAlign w:val="bottom"/>
            <w:hideMark/>
          </w:tcPr>
          <w:p w14:paraId="16BBF331"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10</w:t>
            </w:r>
          </w:p>
        </w:tc>
        <w:tc>
          <w:tcPr>
            <w:tcW w:w="1255" w:type="dxa"/>
            <w:shd w:val="clear" w:color="auto" w:fill="auto"/>
            <w:noWrap/>
            <w:vAlign w:val="bottom"/>
            <w:hideMark/>
          </w:tcPr>
          <w:p w14:paraId="436D6336"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-0.71</w:t>
            </w:r>
          </w:p>
        </w:tc>
        <w:tc>
          <w:tcPr>
            <w:tcW w:w="864" w:type="dxa"/>
            <w:shd w:val="clear" w:color="auto" w:fill="auto"/>
            <w:noWrap/>
            <w:vAlign w:val="bottom"/>
            <w:hideMark/>
          </w:tcPr>
          <w:p w14:paraId="5683E23C"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3.26</w:t>
            </w:r>
          </w:p>
        </w:tc>
        <w:tc>
          <w:tcPr>
            <w:tcW w:w="649" w:type="dxa"/>
            <w:shd w:val="clear" w:color="auto" w:fill="auto"/>
            <w:noWrap/>
            <w:vAlign w:val="bottom"/>
            <w:hideMark/>
          </w:tcPr>
          <w:p w14:paraId="1C8B0CEA"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6.87</w:t>
            </w:r>
          </w:p>
        </w:tc>
        <w:tc>
          <w:tcPr>
            <w:tcW w:w="901" w:type="dxa"/>
            <w:shd w:val="clear" w:color="auto" w:fill="auto"/>
            <w:noWrap/>
            <w:vAlign w:val="bottom"/>
            <w:hideMark/>
          </w:tcPr>
          <w:p w14:paraId="1D7B1CD1"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8.13</w:t>
            </w:r>
          </w:p>
        </w:tc>
        <w:tc>
          <w:tcPr>
            <w:tcW w:w="1243" w:type="dxa"/>
            <w:shd w:val="clear" w:color="auto" w:fill="auto"/>
            <w:noWrap/>
            <w:vAlign w:val="bottom"/>
            <w:hideMark/>
          </w:tcPr>
          <w:p w14:paraId="170D2D0F"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16.67</w:t>
            </w:r>
          </w:p>
        </w:tc>
        <w:tc>
          <w:tcPr>
            <w:tcW w:w="1006" w:type="dxa"/>
            <w:shd w:val="clear" w:color="auto" w:fill="auto"/>
            <w:noWrap/>
            <w:vAlign w:val="bottom"/>
            <w:hideMark/>
          </w:tcPr>
          <w:p w14:paraId="6F865597"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13.92</w:t>
            </w:r>
          </w:p>
        </w:tc>
        <w:tc>
          <w:tcPr>
            <w:tcW w:w="720" w:type="dxa"/>
            <w:shd w:val="clear" w:color="auto" w:fill="auto"/>
            <w:noWrap/>
            <w:vAlign w:val="bottom"/>
            <w:hideMark/>
          </w:tcPr>
          <w:p w14:paraId="0F8E6417"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0.069</w:t>
            </w:r>
          </w:p>
        </w:tc>
        <w:tc>
          <w:tcPr>
            <w:tcW w:w="720" w:type="dxa"/>
            <w:shd w:val="clear" w:color="auto" w:fill="auto"/>
            <w:noWrap/>
            <w:vAlign w:val="bottom"/>
            <w:hideMark/>
          </w:tcPr>
          <w:p w14:paraId="64A27EED"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4.429</w:t>
            </w:r>
          </w:p>
        </w:tc>
        <w:tc>
          <w:tcPr>
            <w:tcW w:w="720" w:type="dxa"/>
            <w:shd w:val="clear" w:color="auto" w:fill="auto"/>
            <w:noWrap/>
            <w:vAlign w:val="bottom"/>
            <w:hideMark/>
          </w:tcPr>
          <w:p w14:paraId="48EC2942"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0.992</w:t>
            </w:r>
          </w:p>
        </w:tc>
        <w:tc>
          <w:tcPr>
            <w:tcW w:w="720" w:type="dxa"/>
            <w:shd w:val="clear" w:color="auto" w:fill="auto"/>
            <w:noWrap/>
            <w:vAlign w:val="bottom"/>
            <w:hideMark/>
          </w:tcPr>
          <w:p w14:paraId="26F796AE"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val="en" w:eastAsia="en-US"/>
              </w:rPr>
              <w:t>0.020</w:t>
            </w:r>
          </w:p>
        </w:tc>
      </w:tr>
      <w:tr w:rsidR="00B23744" w:rsidRPr="00277654" w14:paraId="40D38C61" w14:textId="77777777" w:rsidTr="008B5496">
        <w:trPr>
          <w:trHeight w:val="288"/>
        </w:trPr>
        <w:tc>
          <w:tcPr>
            <w:tcW w:w="742" w:type="dxa"/>
            <w:shd w:val="clear" w:color="auto" w:fill="auto"/>
            <w:noWrap/>
            <w:vAlign w:val="bottom"/>
            <w:hideMark/>
          </w:tcPr>
          <w:p w14:paraId="07D7ADB0"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11</w:t>
            </w:r>
          </w:p>
        </w:tc>
        <w:tc>
          <w:tcPr>
            <w:tcW w:w="1255" w:type="dxa"/>
            <w:shd w:val="clear" w:color="auto" w:fill="auto"/>
            <w:noWrap/>
            <w:vAlign w:val="bottom"/>
            <w:hideMark/>
          </w:tcPr>
          <w:p w14:paraId="782EF0D5"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0.84</w:t>
            </w:r>
          </w:p>
        </w:tc>
        <w:tc>
          <w:tcPr>
            <w:tcW w:w="864" w:type="dxa"/>
            <w:shd w:val="clear" w:color="auto" w:fill="auto"/>
            <w:noWrap/>
            <w:vAlign w:val="bottom"/>
            <w:hideMark/>
          </w:tcPr>
          <w:p w14:paraId="3BDA088D"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1.62</w:t>
            </w:r>
          </w:p>
        </w:tc>
        <w:tc>
          <w:tcPr>
            <w:tcW w:w="649" w:type="dxa"/>
            <w:shd w:val="clear" w:color="auto" w:fill="auto"/>
            <w:noWrap/>
            <w:vAlign w:val="bottom"/>
            <w:hideMark/>
          </w:tcPr>
          <w:p w14:paraId="3686D5BA"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5.02</w:t>
            </w:r>
          </w:p>
        </w:tc>
        <w:tc>
          <w:tcPr>
            <w:tcW w:w="901" w:type="dxa"/>
            <w:shd w:val="clear" w:color="auto" w:fill="auto"/>
            <w:noWrap/>
            <w:vAlign w:val="bottom"/>
            <w:hideMark/>
          </w:tcPr>
          <w:p w14:paraId="6DC20580"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4.02</w:t>
            </w:r>
          </w:p>
        </w:tc>
        <w:tc>
          <w:tcPr>
            <w:tcW w:w="1243" w:type="dxa"/>
            <w:shd w:val="clear" w:color="auto" w:fill="auto"/>
            <w:noWrap/>
            <w:vAlign w:val="bottom"/>
            <w:hideMark/>
          </w:tcPr>
          <w:p w14:paraId="475A03E6"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17.56</w:t>
            </w:r>
          </w:p>
        </w:tc>
        <w:tc>
          <w:tcPr>
            <w:tcW w:w="1006" w:type="dxa"/>
            <w:shd w:val="clear" w:color="auto" w:fill="auto"/>
            <w:noWrap/>
            <w:vAlign w:val="bottom"/>
            <w:hideMark/>
          </w:tcPr>
          <w:p w14:paraId="635466E5"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13.81</w:t>
            </w:r>
          </w:p>
        </w:tc>
        <w:tc>
          <w:tcPr>
            <w:tcW w:w="720" w:type="dxa"/>
            <w:shd w:val="clear" w:color="auto" w:fill="auto"/>
            <w:noWrap/>
            <w:vAlign w:val="bottom"/>
            <w:hideMark/>
          </w:tcPr>
          <w:p w14:paraId="37FC3EF3"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0.050</w:t>
            </w:r>
          </w:p>
        </w:tc>
        <w:tc>
          <w:tcPr>
            <w:tcW w:w="720" w:type="dxa"/>
            <w:shd w:val="clear" w:color="auto" w:fill="auto"/>
            <w:noWrap/>
            <w:vAlign w:val="bottom"/>
            <w:hideMark/>
          </w:tcPr>
          <w:p w14:paraId="6307CF5C"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2.770</w:t>
            </w:r>
          </w:p>
        </w:tc>
        <w:tc>
          <w:tcPr>
            <w:tcW w:w="720" w:type="dxa"/>
            <w:shd w:val="clear" w:color="auto" w:fill="auto"/>
            <w:noWrap/>
            <w:vAlign w:val="bottom"/>
            <w:hideMark/>
          </w:tcPr>
          <w:p w14:paraId="3DAAE985"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0.993</w:t>
            </w:r>
          </w:p>
        </w:tc>
        <w:tc>
          <w:tcPr>
            <w:tcW w:w="720" w:type="dxa"/>
            <w:shd w:val="clear" w:color="auto" w:fill="auto"/>
            <w:noWrap/>
            <w:vAlign w:val="bottom"/>
            <w:hideMark/>
          </w:tcPr>
          <w:p w14:paraId="60CD58C6"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val="en" w:eastAsia="en-US"/>
              </w:rPr>
              <w:t>0.006</w:t>
            </w:r>
          </w:p>
        </w:tc>
      </w:tr>
      <w:tr w:rsidR="00B23744" w:rsidRPr="00277654" w14:paraId="26D9303E" w14:textId="77777777" w:rsidTr="008B5496">
        <w:trPr>
          <w:trHeight w:val="288"/>
        </w:trPr>
        <w:tc>
          <w:tcPr>
            <w:tcW w:w="742" w:type="dxa"/>
            <w:shd w:val="clear" w:color="auto" w:fill="auto"/>
            <w:noWrap/>
            <w:vAlign w:val="bottom"/>
            <w:hideMark/>
          </w:tcPr>
          <w:p w14:paraId="0EBD4706"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12</w:t>
            </w:r>
          </w:p>
        </w:tc>
        <w:tc>
          <w:tcPr>
            <w:tcW w:w="1255" w:type="dxa"/>
            <w:shd w:val="clear" w:color="auto" w:fill="auto"/>
            <w:noWrap/>
            <w:vAlign w:val="bottom"/>
            <w:hideMark/>
          </w:tcPr>
          <w:p w14:paraId="0E5A663B"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0.54</w:t>
            </w:r>
          </w:p>
        </w:tc>
        <w:tc>
          <w:tcPr>
            <w:tcW w:w="864" w:type="dxa"/>
            <w:shd w:val="clear" w:color="auto" w:fill="auto"/>
            <w:noWrap/>
            <w:vAlign w:val="bottom"/>
            <w:hideMark/>
          </w:tcPr>
          <w:p w14:paraId="3D10AFFD"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2.15</w:t>
            </w:r>
          </w:p>
        </w:tc>
        <w:tc>
          <w:tcPr>
            <w:tcW w:w="649" w:type="dxa"/>
            <w:shd w:val="clear" w:color="auto" w:fill="auto"/>
            <w:noWrap/>
            <w:vAlign w:val="bottom"/>
            <w:hideMark/>
          </w:tcPr>
          <w:p w14:paraId="443C4C7C"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5.51</w:t>
            </w:r>
          </w:p>
        </w:tc>
        <w:tc>
          <w:tcPr>
            <w:tcW w:w="901" w:type="dxa"/>
            <w:shd w:val="clear" w:color="auto" w:fill="auto"/>
            <w:noWrap/>
            <w:vAlign w:val="bottom"/>
            <w:hideMark/>
          </w:tcPr>
          <w:p w14:paraId="584F0723"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6.79</w:t>
            </w:r>
          </w:p>
        </w:tc>
        <w:tc>
          <w:tcPr>
            <w:tcW w:w="1243" w:type="dxa"/>
            <w:shd w:val="clear" w:color="auto" w:fill="auto"/>
            <w:noWrap/>
            <w:vAlign w:val="bottom"/>
            <w:hideMark/>
          </w:tcPr>
          <w:p w14:paraId="6AD1BE9A"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15.48</w:t>
            </w:r>
          </w:p>
        </w:tc>
        <w:tc>
          <w:tcPr>
            <w:tcW w:w="1006" w:type="dxa"/>
            <w:shd w:val="clear" w:color="auto" w:fill="auto"/>
            <w:noWrap/>
            <w:vAlign w:val="bottom"/>
            <w:hideMark/>
          </w:tcPr>
          <w:p w14:paraId="0B8A0193"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13.32</w:t>
            </w:r>
          </w:p>
        </w:tc>
        <w:tc>
          <w:tcPr>
            <w:tcW w:w="720" w:type="dxa"/>
            <w:shd w:val="clear" w:color="auto" w:fill="auto"/>
            <w:noWrap/>
            <w:vAlign w:val="bottom"/>
            <w:hideMark/>
          </w:tcPr>
          <w:p w14:paraId="486B1FF8"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0.055</w:t>
            </w:r>
          </w:p>
        </w:tc>
        <w:tc>
          <w:tcPr>
            <w:tcW w:w="720" w:type="dxa"/>
            <w:shd w:val="clear" w:color="auto" w:fill="auto"/>
            <w:noWrap/>
            <w:vAlign w:val="bottom"/>
            <w:hideMark/>
          </w:tcPr>
          <w:p w14:paraId="50B65671"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3.592</w:t>
            </w:r>
          </w:p>
        </w:tc>
        <w:tc>
          <w:tcPr>
            <w:tcW w:w="720" w:type="dxa"/>
            <w:shd w:val="clear" w:color="auto" w:fill="auto"/>
            <w:noWrap/>
            <w:vAlign w:val="bottom"/>
            <w:hideMark/>
          </w:tcPr>
          <w:p w14:paraId="7E1F15B9"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eastAsia="en-US"/>
              </w:rPr>
              <w:t>0.990</w:t>
            </w:r>
          </w:p>
        </w:tc>
        <w:tc>
          <w:tcPr>
            <w:tcW w:w="720" w:type="dxa"/>
            <w:shd w:val="clear" w:color="auto" w:fill="auto"/>
            <w:noWrap/>
            <w:vAlign w:val="bottom"/>
            <w:hideMark/>
          </w:tcPr>
          <w:p w14:paraId="099150E6" w14:textId="77777777" w:rsidR="00B23744" w:rsidRPr="00277654" w:rsidRDefault="00B23744" w:rsidP="008B5496">
            <w:pPr>
              <w:spacing w:line="240" w:lineRule="auto"/>
              <w:ind w:firstLine="0"/>
              <w:jc w:val="center"/>
              <w:rPr>
                <w:rFonts w:ascii="Times New Roman" w:eastAsia="Times New Roman" w:hAnsi="Times New Roman" w:cs="Times New Roman"/>
                <w:color w:val="000000"/>
                <w:sz w:val="22"/>
                <w:szCs w:val="22"/>
                <w:lang w:eastAsia="en-US"/>
              </w:rPr>
            </w:pPr>
            <w:r w:rsidRPr="00277654">
              <w:rPr>
                <w:rFonts w:ascii="Times New Roman" w:eastAsia="Times New Roman" w:hAnsi="Times New Roman" w:cs="Times New Roman"/>
                <w:color w:val="000000"/>
                <w:sz w:val="22"/>
                <w:szCs w:val="22"/>
                <w:lang w:val="en" w:eastAsia="en-US"/>
              </w:rPr>
              <w:t>0.022</w:t>
            </w:r>
          </w:p>
        </w:tc>
      </w:tr>
    </w:tbl>
    <w:p w14:paraId="751C8633" w14:textId="77777777" w:rsidR="00B23744" w:rsidRDefault="00B23744" w:rsidP="00B23744">
      <w:pPr>
        <w:pStyle w:val="TableFigure"/>
        <w:spacing w:line="240" w:lineRule="auto"/>
        <w:rPr>
          <w:rFonts w:asciiTheme="majorHAnsi" w:eastAsia="Times New Roman" w:hAnsiTheme="majorHAnsi" w:cstheme="majorHAnsi"/>
          <w:color w:val="auto"/>
          <w:lang w:eastAsia="en-US"/>
        </w:rPr>
      </w:pPr>
    </w:p>
    <w:p w14:paraId="593C478C" w14:textId="1D7E311B" w:rsidR="00DA3875" w:rsidRDefault="00DA3875">
      <w:pPr>
        <w:rPr>
          <w:rFonts w:asciiTheme="majorHAnsi" w:hAnsiTheme="majorHAnsi" w:cstheme="majorHAnsi"/>
          <w:b/>
        </w:rPr>
      </w:pPr>
      <w:r>
        <w:rPr>
          <w:rFonts w:asciiTheme="majorHAnsi" w:hAnsiTheme="majorHAnsi" w:cstheme="majorHAnsi"/>
          <w:b/>
        </w:rPr>
        <w:br w:type="page"/>
      </w:r>
    </w:p>
    <w:p w14:paraId="0D2E8DD8" w14:textId="77777777" w:rsidR="00C83C86" w:rsidRDefault="00C83C86" w:rsidP="00C83C86">
      <w:pPr>
        <w:spacing w:line="240" w:lineRule="auto"/>
        <w:ind w:firstLine="0"/>
        <w:rPr>
          <w:rFonts w:asciiTheme="majorHAnsi" w:hAnsiTheme="majorHAnsi" w:cstheme="majorHAnsi"/>
          <w:b/>
        </w:rPr>
      </w:pPr>
    </w:p>
    <w:p w14:paraId="2BD6E7B9" w14:textId="75050A84" w:rsidR="00C83C86" w:rsidRPr="007532A5" w:rsidRDefault="00C83C86" w:rsidP="00C83C86">
      <w:pPr>
        <w:spacing w:line="240" w:lineRule="auto"/>
        <w:ind w:firstLine="0"/>
        <w:rPr>
          <w:rFonts w:asciiTheme="majorHAnsi" w:hAnsiTheme="majorHAnsi" w:cstheme="majorHAnsi"/>
          <w:lang w:val="en"/>
        </w:rPr>
      </w:pPr>
      <w:r>
        <w:rPr>
          <w:rFonts w:asciiTheme="majorHAnsi" w:hAnsiTheme="majorHAnsi" w:cstheme="majorHAnsi"/>
          <w:b/>
        </w:rPr>
        <w:t>Exhibit</w:t>
      </w:r>
      <w:r w:rsidRPr="00BA0095">
        <w:rPr>
          <w:rFonts w:asciiTheme="majorHAnsi" w:hAnsiTheme="majorHAnsi" w:cstheme="majorHAnsi"/>
          <w:b/>
        </w:rPr>
        <w:t xml:space="preserve"> </w:t>
      </w:r>
      <w:r>
        <w:rPr>
          <w:rFonts w:asciiTheme="majorHAnsi" w:hAnsiTheme="majorHAnsi" w:cstheme="majorHAnsi"/>
          <w:b/>
        </w:rPr>
        <w:t>10</w:t>
      </w:r>
      <w:r w:rsidRPr="00BA0095">
        <w:rPr>
          <w:rFonts w:asciiTheme="majorHAnsi" w:hAnsiTheme="majorHAnsi" w:cstheme="majorHAnsi"/>
          <w:lang w:val="en"/>
        </w:rPr>
        <w:t xml:space="preserve">: </w:t>
      </w:r>
      <w:r>
        <w:rPr>
          <w:rFonts w:asciiTheme="majorHAnsi" w:hAnsiTheme="majorHAnsi" w:cstheme="majorHAnsi"/>
          <w:lang w:val="en"/>
        </w:rPr>
        <w:t>Clark County Analysis: O</w:t>
      </w:r>
      <w:r w:rsidRPr="00BA0095">
        <w:rPr>
          <w:rFonts w:asciiTheme="majorHAnsi" w:hAnsiTheme="majorHAnsi" w:cstheme="majorHAnsi"/>
          <w:lang w:val="en"/>
        </w:rPr>
        <w:t xml:space="preserve">verall ranking of </w:t>
      </w:r>
      <w:r>
        <w:rPr>
          <w:rFonts w:asciiTheme="majorHAnsi" w:hAnsiTheme="majorHAnsi" w:cstheme="majorHAnsi"/>
          <w:lang w:val="en"/>
        </w:rPr>
        <w:t xml:space="preserve">twelve </w:t>
      </w:r>
      <w:r w:rsidRPr="00BA0095">
        <w:rPr>
          <w:rFonts w:asciiTheme="majorHAnsi" w:hAnsiTheme="majorHAnsi" w:cstheme="majorHAnsi"/>
          <w:lang w:val="en"/>
        </w:rPr>
        <w:t>AVMs that valued a common set of 1,193 sales in Clark</w:t>
      </w:r>
      <w:r>
        <w:rPr>
          <w:rFonts w:asciiTheme="majorHAnsi" w:hAnsiTheme="majorHAnsi" w:cstheme="majorHAnsi"/>
          <w:lang w:val="en"/>
        </w:rPr>
        <w:t xml:space="preserve"> </w:t>
      </w:r>
      <w:r w:rsidRPr="00BA0095">
        <w:rPr>
          <w:rFonts w:asciiTheme="majorHAnsi" w:hAnsiTheme="majorHAnsi" w:cstheme="majorHAnsi"/>
          <w:lang w:val="en"/>
        </w:rPr>
        <w:t>County, Nevada.</w:t>
      </w:r>
      <w:r>
        <w:rPr>
          <w:rFonts w:asciiTheme="majorHAnsi" w:hAnsiTheme="majorHAnsi" w:cstheme="majorHAnsi"/>
          <w:lang w:val="en"/>
        </w:rPr>
        <w:t xml:space="preserve">  Outlier contribution to the AVM-ES is the combined effect of the Failure Rate, Failure Magnitude and Failure MAPE.</w:t>
      </w:r>
    </w:p>
    <w:tbl>
      <w:tblPr>
        <w:tblStyle w:val="APAReport"/>
        <w:tblpPr w:leftFromText="180" w:rightFromText="180" w:vertAnchor="text" w:horzAnchor="margin" w:tblpXSpec="center" w:tblpY="422"/>
        <w:tblW w:w="3991" w:type="pct"/>
        <w:tblLook w:val="04A0" w:firstRow="1" w:lastRow="0" w:firstColumn="1" w:lastColumn="0" w:noHBand="0" w:noVBand="1"/>
      </w:tblPr>
      <w:tblGrid>
        <w:gridCol w:w="811"/>
        <w:gridCol w:w="1796"/>
        <w:gridCol w:w="1619"/>
        <w:gridCol w:w="1619"/>
        <w:gridCol w:w="1618"/>
      </w:tblGrid>
      <w:tr w:rsidR="00C83C86" w:rsidRPr="00BA0095" w14:paraId="02C8AC61" w14:textId="77777777" w:rsidTr="008B5496">
        <w:trPr>
          <w:cnfStyle w:val="100000000000" w:firstRow="1" w:lastRow="0" w:firstColumn="0" w:lastColumn="0" w:oddVBand="0" w:evenVBand="0" w:oddHBand="0" w:evenHBand="0" w:firstRowFirstColumn="0" w:firstRowLastColumn="0" w:lastRowFirstColumn="0" w:lastRowLastColumn="0"/>
          <w:tblHeader/>
        </w:trPr>
        <w:tc>
          <w:tcPr>
            <w:tcW w:w="543" w:type="pct"/>
            <w:tcBorders>
              <w:top w:val="single" w:sz="4" w:space="0" w:color="auto"/>
              <w:left w:val="single" w:sz="4" w:space="0" w:color="auto"/>
              <w:bottom w:val="single" w:sz="4" w:space="0" w:color="auto"/>
              <w:right w:val="single" w:sz="4" w:space="0" w:color="auto"/>
            </w:tcBorders>
          </w:tcPr>
          <w:p w14:paraId="6E847A4C" w14:textId="77777777" w:rsidR="00C83C86" w:rsidRDefault="00C83C86" w:rsidP="008B5496">
            <w:pPr>
              <w:jc w:val="center"/>
              <w:rPr>
                <w:rFonts w:cstheme="majorHAnsi"/>
              </w:rPr>
            </w:pPr>
          </w:p>
          <w:p w14:paraId="6B54AA7F" w14:textId="77777777" w:rsidR="00C83C86" w:rsidRPr="00BA0095" w:rsidRDefault="00C83C86" w:rsidP="008B5496">
            <w:pPr>
              <w:jc w:val="center"/>
              <w:rPr>
                <w:rFonts w:cstheme="majorHAnsi"/>
              </w:rPr>
            </w:pPr>
            <w:r w:rsidRPr="00BA0095">
              <w:rPr>
                <w:rFonts w:cstheme="majorHAnsi"/>
              </w:rPr>
              <w:t>Rank</w:t>
            </w:r>
          </w:p>
        </w:tc>
        <w:tc>
          <w:tcPr>
            <w:tcW w:w="1203" w:type="pct"/>
            <w:tcBorders>
              <w:top w:val="single" w:sz="4" w:space="0" w:color="auto"/>
              <w:left w:val="single" w:sz="4" w:space="0" w:color="auto"/>
              <w:bottom w:val="single" w:sz="4" w:space="0" w:color="auto"/>
              <w:right w:val="single" w:sz="4" w:space="0" w:color="auto"/>
            </w:tcBorders>
          </w:tcPr>
          <w:p w14:paraId="2A1DB1C4" w14:textId="77777777" w:rsidR="00C83C86" w:rsidRDefault="00C83C86" w:rsidP="008B5496">
            <w:pPr>
              <w:jc w:val="center"/>
              <w:rPr>
                <w:rFonts w:cstheme="majorHAnsi"/>
              </w:rPr>
            </w:pPr>
          </w:p>
          <w:p w14:paraId="503967C5" w14:textId="77777777" w:rsidR="00C83C86" w:rsidRPr="00BA0095" w:rsidRDefault="00C83C86" w:rsidP="008B5496">
            <w:pPr>
              <w:jc w:val="center"/>
              <w:rPr>
                <w:rFonts w:cstheme="majorHAnsi"/>
              </w:rPr>
            </w:pPr>
            <w:r w:rsidRPr="00BA0095">
              <w:rPr>
                <w:rFonts w:cstheme="majorHAnsi"/>
              </w:rPr>
              <w:t>Model Number</w:t>
            </w:r>
          </w:p>
        </w:tc>
        <w:tc>
          <w:tcPr>
            <w:tcW w:w="1085" w:type="pct"/>
            <w:tcBorders>
              <w:top w:val="single" w:sz="4" w:space="0" w:color="auto"/>
              <w:left w:val="single" w:sz="4" w:space="0" w:color="auto"/>
              <w:bottom w:val="single" w:sz="4" w:space="0" w:color="auto"/>
              <w:right w:val="single" w:sz="4" w:space="0" w:color="auto"/>
            </w:tcBorders>
          </w:tcPr>
          <w:p w14:paraId="454ED9EA" w14:textId="77777777" w:rsidR="00C83C86" w:rsidRPr="00BA0095" w:rsidRDefault="00C83C86" w:rsidP="008B5496">
            <w:pPr>
              <w:jc w:val="center"/>
              <w:rPr>
                <w:rFonts w:cstheme="majorHAnsi"/>
              </w:rPr>
            </w:pPr>
            <w:r>
              <w:rPr>
                <w:rFonts w:cstheme="majorHAnsi"/>
              </w:rPr>
              <w:t>Outlier Contribution to AVM-ES</w:t>
            </w:r>
          </w:p>
        </w:tc>
        <w:tc>
          <w:tcPr>
            <w:tcW w:w="1085" w:type="pct"/>
            <w:tcBorders>
              <w:top w:val="single" w:sz="4" w:space="0" w:color="auto"/>
              <w:left w:val="single" w:sz="4" w:space="0" w:color="auto"/>
              <w:bottom w:val="single" w:sz="4" w:space="0" w:color="auto"/>
              <w:right w:val="single" w:sz="4" w:space="0" w:color="auto"/>
            </w:tcBorders>
          </w:tcPr>
          <w:p w14:paraId="7D0ACEAE" w14:textId="77777777" w:rsidR="00C83C86" w:rsidRDefault="00C83C86" w:rsidP="008B5496">
            <w:pPr>
              <w:jc w:val="center"/>
              <w:rPr>
                <w:rFonts w:cstheme="majorHAnsi"/>
              </w:rPr>
            </w:pPr>
            <w:r>
              <w:rPr>
                <w:rFonts w:cstheme="majorHAnsi"/>
              </w:rPr>
              <w:t>PRB</w:t>
            </w:r>
          </w:p>
          <w:p w14:paraId="22A7DFE6" w14:textId="77777777" w:rsidR="00C83C86" w:rsidRDefault="00C83C86" w:rsidP="008B5496">
            <w:pPr>
              <w:jc w:val="center"/>
              <w:rPr>
                <w:rFonts w:cstheme="majorHAnsi"/>
              </w:rPr>
            </w:pPr>
            <w:r>
              <w:rPr>
                <w:rFonts w:cstheme="majorHAnsi"/>
              </w:rPr>
              <w:t xml:space="preserve">Contribution </w:t>
            </w:r>
          </w:p>
          <w:p w14:paraId="1D45499B" w14:textId="77777777" w:rsidR="00C83C86" w:rsidRDefault="00C83C86" w:rsidP="008B5496">
            <w:pPr>
              <w:jc w:val="center"/>
              <w:rPr>
                <w:rFonts w:cstheme="majorHAnsi"/>
              </w:rPr>
            </w:pPr>
            <w:r>
              <w:rPr>
                <w:rFonts w:cstheme="majorHAnsi"/>
              </w:rPr>
              <w:t>to AVM-ES</w:t>
            </w:r>
          </w:p>
        </w:tc>
        <w:tc>
          <w:tcPr>
            <w:tcW w:w="1084" w:type="pct"/>
            <w:tcBorders>
              <w:top w:val="single" w:sz="4" w:space="0" w:color="auto"/>
              <w:left w:val="single" w:sz="4" w:space="0" w:color="auto"/>
              <w:bottom w:val="single" w:sz="4" w:space="0" w:color="auto"/>
              <w:right w:val="single" w:sz="4" w:space="0" w:color="auto"/>
            </w:tcBorders>
          </w:tcPr>
          <w:p w14:paraId="06258AFD" w14:textId="77777777" w:rsidR="00C83C86" w:rsidRDefault="00C83C86" w:rsidP="008B5496">
            <w:pPr>
              <w:jc w:val="center"/>
              <w:rPr>
                <w:rFonts w:cstheme="majorHAnsi"/>
              </w:rPr>
            </w:pPr>
          </w:p>
          <w:p w14:paraId="6951D0EB" w14:textId="77777777" w:rsidR="00C83C86" w:rsidRPr="00BA0095" w:rsidRDefault="00C83C86" w:rsidP="008B5496">
            <w:pPr>
              <w:jc w:val="center"/>
              <w:rPr>
                <w:rFonts w:cstheme="majorHAnsi"/>
              </w:rPr>
            </w:pPr>
            <w:r w:rsidRPr="00BA0095">
              <w:rPr>
                <w:rFonts w:cstheme="majorHAnsi"/>
              </w:rPr>
              <w:t>AVM-ES</w:t>
            </w:r>
          </w:p>
        </w:tc>
      </w:tr>
      <w:tr w:rsidR="00C83C86" w:rsidRPr="00BA0095" w14:paraId="550F8BA7" w14:textId="77777777" w:rsidTr="008B5496">
        <w:trPr>
          <w:trHeight w:val="288"/>
        </w:trPr>
        <w:tc>
          <w:tcPr>
            <w:tcW w:w="543" w:type="pct"/>
            <w:tcBorders>
              <w:top w:val="single" w:sz="4" w:space="0" w:color="auto"/>
              <w:left w:val="single" w:sz="4" w:space="0" w:color="auto"/>
              <w:right w:val="single" w:sz="4" w:space="0" w:color="auto"/>
            </w:tcBorders>
          </w:tcPr>
          <w:p w14:paraId="6789B304"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1</w:t>
            </w:r>
          </w:p>
        </w:tc>
        <w:tc>
          <w:tcPr>
            <w:tcW w:w="1203" w:type="pct"/>
            <w:tcBorders>
              <w:top w:val="single" w:sz="4" w:space="0" w:color="auto"/>
              <w:left w:val="single" w:sz="4" w:space="0" w:color="auto"/>
              <w:right w:val="single" w:sz="4" w:space="0" w:color="auto"/>
            </w:tcBorders>
            <w:noWrap/>
            <w:hideMark/>
          </w:tcPr>
          <w:p w14:paraId="28A59FFC"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Model 11</w:t>
            </w:r>
          </w:p>
        </w:tc>
        <w:tc>
          <w:tcPr>
            <w:tcW w:w="1085" w:type="pct"/>
            <w:tcBorders>
              <w:top w:val="nil"/>
              <w:left w:val="nil"/>
              <w:bottom w:val="nil"/>
              <w:right w:val="single" w:sz="4" w:space="0" w:color="auto"/>
            </w:tcBorders>
            <w:shd w:val="clear" w:color="auto" w:fill="auto"/>
            <w:vAlign w:val="bottom"/>
          </w:tcPr>
          <w:p w14:paraId="74F756DE" w14:textId="77777777" w:rsidR="00C83C86" w:rsidRPr="00FE7AE7" w:rsidRDefault="00C83C86" w:rsidP="008B5496">
            <w:pPr>
              <w:jc w:val="center"/>
              <w:rPr>
                <w:rFonts w:ascii="Times New Roman" w:hAnsi="Times New Roman" w:cs="Times New Roman"/>
                <w:color w:val="000000"/>
              </w:rPr>
            </w:pPr>
            <w:r w:rsidRPr="00FE7AE7">
              <w:rPr>
                <w:color w:val="000000"/>
              </w:rPr>
              <w:t>0.02</w:t>
            </w:r>
          </w:p>
        </w:tc>
        <w:tc>
          <w:tcPr>
            <w:tcW w:w="1085" w:type="pct"/>
            <w:tcBorders>
              <w:top w:val="nil"/>
              <w:left w:val="single" w:sz="4" w:space="0" w:color="auto"/>
              <w:bottom w:val="nil"/>
              <w:right w:val="single" w:sz="4" w:space="0" w:color="auto"/>
            </w:tcBorders>
            <w:shd w:val="clear" w:color="auto" w:fill="auto"/>
            <w:vAlign w:val="bottom"/>
          </w:tcPr>
          <w:p w14:paraId="4FCC780F" w14:textId="77777777" w:rsidR="00C83C86" w:rsidRPr="00FE7AE7" w:rsidRDefault="00C83C86" w:rsidP="008B5496">
            <w:pPr>
              <w:jc w:val="center"/>
              <w:rPr>
                <w:rFonts w:ascii="Times New Roman" w:hAnsi="Times New Roman" w:cs="Times New Roman"/>
                <w:color w:val="000000"/>
              </w:rPr>
            </w:pPr>
            <w:r>
              <w:rPr>
                <w:color w:val="000000"/>
                <w:sz w:val="22"/>
                <w:szCs w:val="22"/>
              </w:rPr>
              <w:t>-0.101</w:t>
            </w:r>
          </w:p>
        </w:tc>
        <w:tc>
          <w:tcPr>
            <w:tcW w:w="1084" w:type="pct"/>
            <w:tcBorders>
              <w:top w:val="single" w:sz="4" w:space="0" w:color="auto"/>
              <w:left w:val="single" w:sz="4" w:space="0" w:color="auto"/>
              <w:bottom w:val="nil"/>
              <w:right w:val="single" w:sz="4" w:space="0" w:color="auto"/>
            </w:tcBorders>
            <w:shd w:val="clear" w:color="auto" w:fill="auto"/>
            <w:noWrap/>
            <w:vAlign w:val="bottom"/>
            <w:hideMark/>
          </w:tcPr>
          <w:p w14:paraId="7226C990" w14:textId="77777777" w:rsidR="00C83C86" w:rsidRPr="00FE7AE7" w:rsidRDefault="00C83C86" w:rsidP="008B5496">
            <w:pPr>
              <w:jc w:val="center"/>
              <w:rPr>
                <w:rFonts w:ascii="Times New Roman" w:eastAsia="Times New Roman" w:hAnsi="Times New Roman" w:cs="Times New Roman"/>
                <w:color w:val="000000"/>
                <w:lang w:eastAsia="en-US"/>
              </w:rPr>
            </w:pPr>
            <w:r w:rsidRPr="00FE7AE7">
              <w:rPr>
                <w:rFonts w:ascii="Times New Roman" w:hAnsi="Times New Roman" w:cs="Times New Roman"/>
                <w:color w:val="000000"/>
              </w:rPr>
              <w:t>3.88</w:t>
            </w:r>
          </w:p>
        </w:tc>
      </w:tr>
      <w:tr w:rsidR="00C83C86" w:rsidRPr="00BA0095" w14:paraId="3775EF60" w14:textId="77777777" w:rsidTr="008B5496">
        <w:trPr>
          <w:trHeight w:val="288"/>
        </w:trPr>
        <w:tc>
          <w:tcPr>
            <w:tcW w:w="543" w:type="pct"/>
            <w:tcBorders>
              <w:left w:val="single" w:sz="4" w:space="0" w:color="auto"/>
              <w:right w:val="single" w:sz="4" w:space="0" w:color="auto"/>
            </w:tcBorders>
          </w:tcPr>
          <w:p w14:paraId="506D66B3"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2</w:t>
            </w:r>
          </w:p>
        </w:tc>
        <w:tc>
          <w:tcPr>
            <w:tcW w:w="1203" w:type="pct"/>
            <w:tcBorders>
              <w:left w:val="single" w:sz="4" w:space="0" w:color="auto"/>
              <w:right w:val="single" w:sz="4" w:space="0" w:color="auto"/>
            </w:tcBorders>
            <w:noWrap/>
            <w:hideMark/>
          </w:tcPr>
          <w:p w14:paraId="1009C37D"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Model 2</w:t>
            </w:r>
          </w:p>
        </w:tc>
        <w:tc>
          <w:tcPr>
            <w:tcW w:w="1085" w:type="pct"/>
            <w:tcBorders>
              <w:top w:val="nil"/>
              <w:left w:val="nil"/>
              <w:bottom w:val="nil"/>
              <w:right w:val="single" w:sz="4" w:space="0" w:color="auto"/>
            </w:tcBorders>
            <w:shd w:val="clear" w:color="auto" w:fill="auto"/>
            <w:vAlign w:val="bottom"/>
          </w:tcPr>
          <w:p w14:paraId="619D3972" w14:textId="77777777" w:rsidR="00C83C86" w:rsidRPr="00FE7AE7" w:rsidRDefault="00C83C86" w:rsidP="008B5496">
            <w:pPr>
              <w:jc w:val="center"/>
              <w:rPr>
                <w:rFonts w:ascii="Times New Roman" w:hAnsi="Times New Roman" w:cs="Times New Roman"/>
                <w:color w:val="000000"/>
              </w:rPr>
            </w:pPr>
            <w:r w:rsidRPr="00FE7AE7">
              <w:rPr>
                <w:color w:val="000000"/>
              </w:rPr>
              <w:t>-0.07</w:t>
            </w:r>
          </w:p>
        </w:tc>
        <w:tc>
          <w:tcPr>
            <w:tcW w:w="1085" w:type="pct"/>
            <w:tcBorders>
              <w:top w:val="nil"/>
              <w:left w:val="single" w:sz="4" w:space="0" w:color="auto"/>
              <w:bottom w:val="nil"/>
              <w:right w:val="single" w:sz="4" w:space="0" w:color="auto"/>
            </w:tcBorders>
            <w:shd w:val="clear" w:color="auto" w:fill="auto"/>
            <w:vAlign w:val="bottom"/>
          </w:tcPr>
          <w:p w14:paraId="67B1BC9A" w14:textId="77777777" w:rsidR="00C83C86" w:rsidRPr="00FE7AE7" w:rsidRDefault="00C83C86" w:rsidP="008B5496">
            <w:pPr>
              <w:jc w:val="center"/>
              <w:rPr>
                <w:rFonts w:ascii="Times New Roman" w:hAnsi="Times New Roman" w:cs="Times New Roman"/>
                <w:color w:val="000000"/>
              </w:rPr>
            </w:pPr>
            <w:r>
              <w:rPr>
                <w:color w:val="000000"/>
                <w:sz w:val="22"/>
                <w:szCs w:val="22"/>
              </w:rPr>
              <w:t>-0.102</w:t>
            </w:r>
          </w:p>
        </w:tc>
        <w:tc>
          <w:tcPr>
            <w:tcW w:w="1084" w:type="pct"/>
            <w:tcBorders>
              <w:top w:val="nil"/>
              <w:left w:val="single" w:sz="4" w:space="0" w:color="auto"/>
              <w:bottom w:val="nil"/>
              <w:right w:val="single" w:sz="4" w:space="0" w:color="auto"/>
            </w:tcBorders>
            <w:shd w:val="clear" w:color="auto" w:fill="auto"/>
            <w:noWrap/>
            <w:vAlign w:val="bottom"/>
            <w:hideMark/>
          </w:tcPr>
          <w:p w14:paraId="289D5942" w14:textId="77777777" w:rsidR="00C83C86" w:rsidRPr="00FE7AE7" w:rsidRDefault="00C83C86" w:rsidP="008B5496">
            <w:pPr>
              <w:jc w:val="center"/>
              <w:rPr>
                <w:rFonts w:ascii="Times New Roman" w:eastAsia="Times New Roman" w:hAnsi="Times New Roman" w:cs="Times New Roman"/>
                <w:color w:val="000000"/>
                <w:lang w:eastAsia="en-US"/>
              </w:rPr>
            </w:pPr>
            <w:r w:rsidRPr="00FE7AE7">
              <w:rPr>
                <w:rFonts w:ascii="Times New Roman" w:hAnsi="Times New Roman" w:cs="Times New Roman"/>
                <w:color w:val="000000"/>
              </w:rPr>
              <w:t>4.22</w:t>
            </w:r>
          </w:p>
        </w:tc>
      </w:tr>
      <w:tr w:rsidR="00C83C86" w:rsidRPr="00BA0095" w14:paraId="5D290F7D" w14:textId="77777777" w:rsidTr="008B5496">
        <w:trPr>
          <w:trHeight w:val="288"/>
        </w:trPr>
        <w:tc>
          <w:tcPr>
            <w:tcW w:w="543" w:type="pct"/>
            <w:tcBorders>
              <w:left w:val="single" w:sz="4" w:space="0" w:color="auto"/>
              <w:right w:val="single" w:sz="4" w:space="0" w:color="auto"/>
            </w:tcBorders>
          </w:tcPr>
          <w:p w14:paraId="426D0AC5"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3</w:t>
            </w:r>
          </w:p>
        </w:tc>
        <w:tc>
          <w:tcPr>
            <w:tcW w:w="1203" w:type="pct"/>
            <w:tcBorders>
              <w:left w:val="single" w:sz="4" w:space="0" w:color="auto"/>
              <w:right w:val="single" w:sz="4" w:space="0" w:color="auto"/>
            </w:tcBorders>
            <w:noWrap/>
            <w:hideMark/>
          </w:tcPr>
          <w:p w14:paraId="6C42F9AF"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Model 4</w:t>
            </w:r>
          </w:p>
        </w:tc>
        <w:tc>
          <w:tcPr>
            <w:tcW w:w="1085" w:type="pct"/>
            <w:tcBorders>
              <w:top w:val="nil"/>
              <w:left w:val="nil"/>
              <w:bottom w:val="nil"/>
              <w:right w:val="single" w:sz="4" w:space="0" w:color="auto"/>
            </w:tcBorders>
            <w:shd w:val="clear" w:color="auto" w:fill="auto"/>
            <w:vAlign w:val="bottom"/>
          </w:tcPr>
          <w:p w14:paraId="6071B1C6" w14:textId="77777777" w:rsidR="00C83C86" w:rsidRPr="00FE7AE7" w:rsidRDefault="00C83C86" w:rsidP="008B5496">
            <w:pPr>
              <w:jc w:val="center"/>
              <w:rPr>
                <w:rFonts w:ascii="Times New Roman" w:hAnsi="Times New Roman" w:cs="Times New Roman"/>
                <w:color w:val="000000"/>
              </w:rPr>
            </w:pPr>
            <w:r w:rsidRPr="00FE7AE7">
              <w:rPr>
                <w:color w:val="000000"/>
              </w:rPr>
              <w:t>0.87</w:t>
            </w:r>
          </w:p>
        </w:tc>
        <w:tc>
          <w:tcPr>
            <w:tcW w:w="1085" w:type="pct"/>
            <w:tcBorders>
              <w:top w:val="nil"/>
              <w:left w:val="single" w:sz="4" w:space="0" w:color="auto"/>
              <w:bottom w:val="nil"/>
              <w:right w:val="single" w:sz="4" w:space="0" w:color="auto"/>
            </w:tcBorders>
            <w:shd w:val="clear" w:color="auto" w:fill="auto"/>
            <w:vAlign w:val="bottom"/>
          </w:tcPr>
          <w:p w14:paraId="04BDD4DF" w14:textId="77777777" w:rsidR="00C83C86" w:rsidRPr="00FE7AE7" w:rsidRDefault="00C83C86" w:rsidP="008B5496">
            <w:pPr>
              <w:jc w:val="center"/>
              <w:rPr>
                <w:rFonts w:ascii="Times New Roman" w:hAnsi="Times New Roman" w:cs="Times New Roman"/>
                <w:color w:val="000000"/>
              </w:rPr>
            </w:pPr>
            <w:r>
              <w:rPr>
                <w:color w:val="000000"/>
                <w:sz w:val="22"/>
                <w:szCs w:val="22"/>
              </w:rPr>
              <w:t>-0.101</w:t>
            </w:r>
          </w:p>
        </w:tc>
        <w:tc>
          <w:tcPr>
            <w:tcW w:w="1084" w:type="pct"/>
            <w:tcBorders>
              <w:top w:val="nil"/>
              <w:left w:val="single" w:sz="4" w:space="0" w:color="auto"/>
              <w:bottom w:val="nil"/>
              <w:right w:val="single" w:sz="4" w:space="0" w:color="auto"/>
            </w:tcBorders>
            <w:shd w:val="clear" w:color="auto" w:fill="auto"/>
            <w:noWrap/>
            <w:vAlign w:val="bottom"/>
            <w:hideMark/>
          </w:tcPr>
          <w:p w14:paraId="019C1D9F" w14:textId="77777777" w:rsidR="00C83C86" w:rsidRPr="00FE7AE7" w:rsidRDefault="00C83C86" w:rsidP="008B5496">
            <w:pPr>
              <w:jc w:val="center"/>
              <w:rPr>
                <w:rFonts w:ascii="Times New Roman" w:eastAsia="Times New Roman" w:hAnsi="Times New Roman" w:cs="Times New Roman"/>
                <w:color w:val="000000"/>
                <w:lang w:eastAsia="en-US"/>
              </w:rPr>
            </w:pPr>
            <w:r w:rsidRPr="00FE7AE7">
              <w:rPr>
                <w:rFonts w:ascii="Times New Roman" w:hAnsi="Times New Roman" w:cs="Times New Roman"/>
                <w:color w:val="000000"/>
              </w:rPr>
              <w:t>5.64</w:t>
            </w:r>
          </w:p>
        </w:tc>
      </w:tr>
      <w:tr w:rsidR="00C83C86" w:rsidRPr="00BA0095" w14:paraId="5509641D" w14:textId="77777777" w:rsidTr="008B5496">
        <w:trPr>
          <w:trHeight w:val="288"/>
        </w:trPr>
        <w:tc>
          <w:tcPr>
            <w:tcW w:w="543" w:type="pct"/>
            <w:tcBorders>
              <w:left w:val="single" w:sz="4" w:space="0" w:color="auto"/>
              <w:right w:val="single" w:sz="4" w:space="0" w:color="auto"/>
            </w:tcBorders>
          </w:tcPr>
          <w:p w14:paraId="0B440721"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4</w:t>
            </w:r>
          </w:p>
        </w:tc>
        <w:tc>
          <w:tcPr>
            <w:tcW w:w="1203" w:type="pct"/>
            <w:tcBorders>
              <w:left w:val="single" w:sz="4" w:space="0" w:color="auto"/>
              <w:right w:val="single" w:sz="4" w:space="0" w:color="auto"/>
            </w:tcBorders>
            <w:noWrap/>
            <w:hideMark/>
          </w:tcPr>
          <w:p w14:paraId="4BD23E53"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Model 3</w:t>
            </w:r>
          </w:p>
        </w:tc>
        <w:tc>
          <w:tcPr>
            <w:tcW w:w="1085" w:type="pct"/>
            <w:tcBorders>
              <w:top w:val="nil"/>
              <w:left w:val="nil"/>
              <w:bottom w:val="nil"/>
              <w:right w:val="single" w:sz="4" w:space="0" w:color="auto"/>
            </w:tcBorders>
            <w:shd w:val="clear" w:color="auto" w:fill="auto"/>
            <w:vAlign w:val="bottom"/>
          </w:tcPr>
          <w:p w14:paraId="5BADDEFA" w14:textId="77777777" w:rsidR="00C83C86" w:rsidRPr="00FE7AE7" w:rsidRDefault="00C83C86" w:rsidP="008B5496">
            <w:pPr>
              <w:jc w:val="center"/>
              <w:rPr>
                <w:rFonts w:ascii="Times New Roman" w:hAnsi="Times New Roman" w:cs="Times New Roman"/>
                <w:color w:val="000000"/>
              </w:rPr>
            </w:pPr>
            <w:r w:rsidRPr="00FE7AE7">
              <w:rPr>
                <w:color w:val="000000"/>
              </w:rPr>
              <w:t>0.94</w:t>
            </w:r>
          </w:p>
        </w:tc>
        <w:tc>
          <w:tcPr>
            <w:tcW w:w="1085" w:type="pct"/>
            <w:tcBorders>
              <w:top w:val="nil"/>
              <w:left w:val="single" w:sz="4" w:space="0" w:color="auto"/>
              <w:bottom w:val="nil"/>
              <w:right w:val="single" w:sz="4" w:space="0" w:color="auto"/>
            </w:tcBorders>
            <w:shd w:val="clear" w:color="auto" w:fill="auto"/>
            <w:vAlign w:val="bottom"/>
          </w:tcPr>
          <w:p w14:paraId="384FFB15" w14:textId="77777777" w:rsidR="00C83C86" w:rsidRPr="00FE7AE7" w:rsidRDefault="00C83C86" w:rsidP="008B5496">
            <w:pPr>
              <w:jc w:val="center"/>
              <w:rPr>
                <w:rFonts w:ascii="Times New Roman" w:hAnsi="Times New Roman" w:cs="Times New Roman"/>
                <w:color w:val="000000"/>
              </w:rPr>
            </w:pPr>
            <w:r>
              <w:rPr>
                <w:color w:val="000000"/>
                <w:sz w:val="22"/>
                <w:szCs w:val="22"/>
              </w:rPr>
              <w:t>-0.101</w:t>
            </w:r>
          </w:p>
        </w:tc>
        <w:tc>
          <w:tcPr>
            <w:tcW w:w="1084" w:type="pct"/>
            <w:tcBorders>
              <w:top w:val="nil"/>
              <w:left w:val="single" w:sz="4" w:space="0" w:color="auto"/>
              <w:bottom w:val="nil"/>
              <w:right w:val="single" w:sz="4" w:space="0" w:color="auto"/>
            </w:tcBorders>
            <w:shd w:val="clear" w:color="auto" w:fill="auto"/>
            <w:noWrap/>
            <w:vAlign w:val="bottom"/>
            <w:hideMark/>
          </w:tcPr>
          <w:p w14:paraId="6F601B6F" w14:textId="77777777" w:rsidR="00C83C86" w:rsidRPr="00FE7AE7" w:rsidRDefault="00C83C86" w:rsidP="008B5496">
            <w:pPr>
              <w:jc w:val="center"/>
              <w:rPr>
                <w:rFonts w:ascii="Times New Roman" w:eastAsia="Times New Roman" w:hAnsi="Times New Roman" w:cs="Times New Roman"/>
                <w:color w:val="000000"/>
                <w:lang w:eastAsia="en-US"/>
              </w:rPr>
            </w:pPr>
            <w:r w:rsidRPr="00FE7AE7">
              <w:rPr>
                <w:rFonts w:ascii="Times New Roman" w:hAnsi="Times New Roman" w:cs="Times New Roman"/>
                <w:color w:val="000000"/>
              </w:rPr>
              <w:t>5.69</w:t>
            </w:r>
          </w:p>
        </w:tc>
      </w:tr>
      <w:tr w:rsidR="00C83C86" w:rsidRPr="00BA0095" w14:paraId="259D72C9" w14:textId="77777777" w:rsidTr="008B5496">
        <w:trPr>
          <w:trHeight w:val="288"/>
        </w:trPr>
        <w:tc>
          <w:tcPr>
            <w:tcW w:w="543" w:type="pct"/>
            <w:tcBorders>
              <w:left w:val="single" w:sz="4" w:space="0" w:color="auto"/>
              <w:right w:val="single" w:sz="4" w:space="0" w:color="auto"/>
            </w:tcBorders>
          </w:tcPr>
          <w:p w14:paraId="645290DD"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5</w:t>
            </w:r>
          </w:p>
        </w:tc>
        <w:tc>
          <w:tcPr>
            <w:tcW w:w="1203" w:type="pct"/>
            <w:tcBorders>
              <w:left w:val="single" w:sz="4" w:space="0" w:color="auto"/>
              <w:right w:val="single" w:sz="4" w:space="0" w:color="auto"/>
            </w:tcBorders>
            <w:noWrap/>
            <w:hideMark/>
          </w:tcPr>
          <w:p w14:paraId="4E8C5071"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Model 12</w:t>
            </w:r>
          </w:p>
        </w:tc>
        <w:tc>
          <w:tcPr>
            <w:tcW w:w="1085" w:type="pct"/>
            <w:tcBorders>
              <w:top w:val="nil"/>
              <w:left w:val="nil"/>
              <w:bottom w:val="nil"/>
              <w:right w:val="single" w:sz="4" w:space="0" w:color="auto"/>
            </w:tcBorders>
            <w:shd w:val="clear" w:color="auto" w:fill="auto"/>
            <w:vAlign w:val="bottom"/>
          </w:tcPr>
          <w:p w14:paraId="77F6D6F0" w14:textId="77777777" w:rsidR="00C83C86" w:rsidRPr="00FE7AE7" w:rsidRDefault="00C83C86" w:rsidP="008B5496">
            <w:pPr>
              <w:jc w:val="center"/>
              <w:rPr>
                <w:rFonts w:ascii="Times New Roman" w:hAnsi="Times New Roman" w:cs="Times New Roman"/>
                <w:color w:val="000000"/>
              </w:rPr>
            </w:pPr>
            <w:r w:rsidRPr="00FE7AE7">
              <w:rPr>
                <w:color w:val="000000"/>
              </w:rPr>
              <w:t>1.40</w:t>
            </w:r>
          </w:p>
        </w:tc>
        <w:tc>
          <w:tcPr>
            <w:tcW w:w="1085" w:type="pct"/>
            <w:tcBorders>
              <w:top w:val="nil"/>
              <w:left w:val="single" w:sz="4" w:space="0" w:color="auto"/>
              <w:bottom w:val="nil"/>
              <w:right w:val="single" w:sz="4" w:space="0" w:color="auto"/>
            </w:tcBorders>
            <w:shd w:val="clear" w:color="auto" w:fill="auto"/>
            <w:vAlign w:val="bottom"/>
          </w:tcPr>
          <w:p w14:paraId="53A0B7DD" w14:textId="77777777" w:rsidR="00C83C86" w:rsidRPr="00FE7AE7" w:rsidRDefault="00C83C86" w:rsidP="008B5496">
            <w:pPr>
              <w:jc w:val="center"/>
              <w:rPr>
                <w:rFonts w:ascii="Times New Roman" w:hAnsi="Times New Roman" w:cs="Times New Roman"/>
                <w:color w:val="000000"/>
              </w:rPr>
            </w:pPr>
            <w:r>
              <w:rPr>
                <w:color w:val="000000"/>
                <w:sz w:val="22"/>
                <w:szCs w:val="22"/>
              </w:rPr>
              <w:t>-0.101</w:t>
            </w:r>
          </w:p>
        </w:tc>
        <w:tc>
          <w:tcPr>
            <w:tcW w:w="1084" w:type="pct"/>
            <w:tcBorders>
              <w:top w:val="nil"/>
              <w:left w:val="single" w:sz="4" w:space="0" w:color="auto"/>
              <w:bottom w:val="nil"/>
              <w:right w:val="single" w:sz="4" w:space="0" w:color="auto"/>
            </w:tcBorders>
            <w:shd w:val="clear" w:color="auto" w:fill="auto"/>
            <w:noWrap/>
            <w:vAlign w:val="bottom"/>
            <w:hideMark/>
          </w:tcPr>
          <w:p w14:paraId="57BA6ABB" w14:textId="77777777" w:rsidR="00C83C86" w:rsidRPr="00FE7AE7" w:rsidRDefault="00C83C86" w:rsidP="008B5496">
            <w:pPr>
              <w:jc w:val="center"/>
              <w:rPr>
                <w:rFonts w:ascii="Times New Roman" w:eastAsia="Times New Roman" w:hAnsi="Times New Roman" w:cs="Times New Roman"/>
                <w:color w:val="000000"/>
                <w:lang w:eastAsia="en-US"/>
              </w:rPr>
            </w:pPr>
            <w:r w:rsidRPr="00FE7AE7">
              <w:rPr>
                <w:rFonts w:ascii="Times New Roman" w:hAnsi="Times New Roman" w:cs="Times New Roman"/>
                <w:color w:val="000000"/>
              </w:rPr>
              <w:t>5.86</w:t>
            </w:r>
          </w:p>
        </w:tc>
      </w:tr>
      <w:tr w:rsidR="00C83C86" w:rsidRPr="00BA0095" w14:paraId="6EE6D7A4" w14:textId="77777777" w:rsidTr="008B5496">
        <w:trPr>
          <w:trHeight w:val="288"/>
        </w:trPr>
        <w:tc>
          <w:tcPr>
            <w:tcW w:w="543" w:type="pct"/>
            <w:tcBorders>
              <w:left w:val="single" w:sz="4" w:space="0" w:color="auto"/>
              <w:right w:val="single" w:sz="4" w:space="0" w:color="auto"/>
            </w:tcBorders>
          </w:tcPr>
          <w:p w14:paraId="24493D3F"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6</w:t>
            </w:r>
          </w:p>
        </w:tc>
        <w:tc>
          <w:tcPr>
            <w:tcW w:w="1203" w:type="pct"/>
            <w:tcBorders>
              <w:left w:val="single" w:sz="4" w:space="0" w:color="auto"/>
              <w:right w:val="single" w:sz="4" w:space="0" w:color="auto"/>
            </w:tcBorders>
            <w:noWrap/>
            <w:hideMark/>
          </w:tcPr>
          <w:p w14:paraId="28BF6484"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Model 1</w:t>
            </w:r>
          </w:p>
        </w:tc>
        <w:tc>
          <w:tcPr>
            <w:tcW w:w="1085" w:type="pct"/>
            <w:tcBorders>
              <w:top w:val="nil"/>
              <w:left w:val="nil"/>
              <w:bottom w:val="nil"/>
              <w:right w:val="single" w:sz="4" w:space="0" w:color="auto"/>
            </w:tcBorders>
            <w:shd w:val="clear" w:color="auto" w:fill="auto"/>
            <w:vAlign w:val="bottom"/>
          </w:tcPr>
          <w:p w14:paraId="517FF27F" w14:textId="77777777" w:rsidR="00C83C86" w:rsidRPr="00FE7AE7" w:rsidRDefault="00C83C86" w:rsidP="008B5496">
            <w:pPr>
              <w:jc w:val="center"/>
              <w:rPr>
                <w:rFonts w:ascii="Times New Roman" w:hAnsi="Times New Roman" w:cs="Times New Roman"/>
                <w:color w:val="000000"/>
              </w:rPr>
            </w:pPr>
            <w:r w:rsidRPr="00FE7AE7">
              <w:rPr>
                <w:color w:val="000000"/>
              </w:rPr>
              <w:t>0.58</w:t>
            </w:r>
          </w:p>
        </w:tc>
        <w:tc>
          <w:tcPr>
            <w:tcW w:w="1085" w:type="pct"/>
            <w:tcBorders>
              <w:top w:val="nil"/>
              <w:left w:val="single" w:sz="4" w:space="0" w:color="auto"/>
              <w:bottom w:val="nil"/>
              <w:right w:val="single" w:sz="4" w:space="0" w:color="auto"/>
            </w:tcBorders>
            <w:shd w:val="clear" w:color="auto" w:fill="auto"/>
            <w:vAlign w:val="bottom"/>
          </w:tcPr>
          <w:p w14:paraId="3486C41C" w14:textId="77777777" w:rsidR="00C83C86" w:rsidRPr="00FE7AE7" w:rsidRDefault="00C83C86" w:rsidP="008B5496">
            <w:pPr>
              <w:jc w:val="center"/>
              <w:rPr>
                <w:rFonts w:ascii="Times New Roman" w:hAnsi="Times New Roman" w:cs="Times New Roman"/>
                <w:color w:val="000000"/>
              </w:rPr>
            </w:pPr>
            <w:r>
              <w:rPr>
                <w:color w:val="000000"/>
                <w:sz w:val="22"/>
                <w:szCs w:val="22"/>
              </w:rPr>
              <w:t>-0.101</w:t>
            </w:r>
          </w:p>
        </w:tc>
        <w:tc>
          <w:tcPr>
            <w:tcW w:w="1084" w:type="pct"/>
            <w:tcBorders>
              <w:top w:val="nil"/>
              <w:left w:val="single" w:sz="4" w:space="0" w:color="auto"/>
              <w:bottom w:val="nil"/>
              <w:right w:val="single" w:sz="4" w:space="0" w:color="auto"/>
            </w:tcBorders>
            <w:shd w:val="clear" w:color="auto" w:fill="auto"/>
            <w:noWrap/>
            <w:vAlign w:val="bottom"/>
            <w:hideMark/>
          </w:tcPr>
          <w:p w14:paraId="311E3513" w14:textId="77777777" w:rsidR="00C83C86" w:rsidRPr="00FE7AE7" w:rsidRDefault="00C83C86" w:rsidP="008B5496">
            <w:pPr>
              <w:jc w:val="center"/>
              <w:rPr>
                <w:rFonts w:ascii="Times New Roman" w:eastAsia="Times New Roman" w:hAnsi="Times New Roman" w:cs="Times New Roman"/>
                <w:color w:val="000000"/>
                <w:lang w:eastAsia="en-US"/>
              </w:rPr>
            </w:pPr>
            <w:r w:rsidRPr="00FE7AE7">
              <w:rPr>
                <w:rFonts w:ascii="Times New Roman" w:hAnsi="Times New Roman" w:cs="Times New Roman"/>
                <w:color w:val="000000"/>
              </w:rPr>
              <w:t>6.26</w:t>
            </w:r>
          </w:p>
        </w:tc>
      </w:tr>
      <w:tr w:rsidR="00C83C86" w:rsidRPr="00BA0095" w14:paraId="47E9672E" w14:textId="77777777" w:rsidTr="008B5496">
        <w:trPr>
          <w:trHeight w:val="288"/>
        </w:trPr>
        <w:tc>
          <w:tcPr>
            <w:tcW w:w="543" w:type="pct"/>
            <w:tcBorders>
              <w:left w:val="single" w:sz="4" w:space="0" w:color="auto"/>
              <w:right w:val="single" w:sz="4" w:space="0" w:color="auto"/>
            </w:tcBorders>
          </w:tcPr>
          <w:p w14:paraId="28EBA232"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7</w:t>
            </w:r>
          </w:p>
        </w:tc>
        <w:tc>
          <w:tcPr>
            <w:tcW w:w="1203" w:type="pct"/>
            <w:tcBorders>
              <w:left w:val="single" w:sz="4" w:space="0" w:color="auto"/>
              <w:right w:val="single" w:sz="4" w:space="0" w:color="auto"/>
            </w:tcBorders>
            <w:noWrap/>
            <w:hideMark/>
          </w:tcPr>
          <w:p w14:paraId="72BA1621"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Model 10</w:t>
            </w:r>
          </w:p>
        </w:tc>
        <w:tc>
          <w:tcPr>
            <w:tcW w:w="1085" w:type="pct"/>
            <w:tcBorders>
              <w:top w:val="nil"/>
              <w:left w:val="nil"/>
              <w:bottom w:val="nil"/>
              <w:right w:val="single" w:sz="4" w:space="0" w:color="auto"/>
            </w:tcBorders>
            <w:shd w:val="clear" w:color="auto" w:fill="auto"/>
            <w:vAlign w:val="bottom"/>
          </w:tcPr>
          <w:p w14:paraId="67EFD224" w14:textId="77777777" w:rsidR="00C83C86" w:rsidRPr="00FE7AE7" w:rsidRDefault="00C83C86" w:rsidP="008B5496">
            <w:pPr>
              <w:jc w:val="center"/>
              <w:rPr>
                <w:rFonts w:ascii="Times New Roman" w:hAnsi="Times New Roman" w:cs="Times New Roman"/>
                <w:color w:val="000000"/>
              </w:rPr>
            </w:pPr>
            <w:r w:rsidRPr="00FE7AE7">
              <w:rPr>
                <w:color w:val="000000"/>
              </w:rPr>
              <w:t>1.78</w:t>
            </w:r>
          </w:p>
        </w:tc>
        <w:tc>
          <w:tcPr>
            <w:tcW w:w="1085" w:type="pct"/>
            <w:tcBorders>
              <w:top w:val="nil"/>
              <w:left w:val="single" w:sz="4" w:space="0" w:color="auto"/>
              <w:bottom w:val="nil"/>
              <w:right w:val="single" w:sz="4" w:space="0" w:color="auto"/>
            </w:tcBorders>
            <w:shd w:val="clear" w:color="auto" w:fill="auto"/>
            <w:vAlign w:val="bottom"/>
          </w:tcPr>
          <w:p w14:paraId="765DAD7B" w14:textId="77777777" w:rsidR="00C83C86" w:rsidRPr="00FE7AE7" w:rsidRDefault="00C83C86" w:rsidP="008B5496">
            <w:pPr>
              <w:jc w:val="center"/>
              <w:rPr>
                <w:rFonts w:ascii="Times New Roman" w:hAnsi="Times New Roman" w:cs="Times New Roman"/>
                <w:color w:val="000000"/>
              </w:rPr>
            </w:pPr>
            <w:r>
              <w:rPr>
                <w:color w:val="000000"/>
                <w:sz w:val="22"/>
                <w:szCs w:val="22"/>
              </w:rPr>
              <w:t>-0.101</w:t>
            </w:r>
          </w:p>
        </w:tc>
        <w:tc>
          <w:tcPr>
            <w:tcW w:w="1084" w:type="pct"/>
            <w:tcBorders>
              <w:top w:val="nil"/>
              <w:left w:val="single" w:sz="4" w:space="0" w:color="auto"/>
              <w:bottom w:val="nil"/>
              <w:right w:val="single" w:sz="4" w:space="0" w:color="auto"/>
            </w:tcBorders>
            <w:shd w:val="clear" w:color="auto" w:fill="auto"/>
            <w:noWrap/>
            <w:vAlign w:val="bottom"/>
            <w:hideMark/>
          </w:tcPr>
          <w:p w14:paraId="02D531F0" w14:textId="77777777" w:rsidR="00C83C86" w:rsidRPr="00FE7AE7" w:rsidRDefault="00C83C86" w:rsidP="008B5496">
            <w:pPr>
              <w:jc w:val="center"/>
              <w:rPr>
                <w:rFonts w:ascii="Times New Roman" w:eastAsia="Times New Roman" w:hAnsi="Times New Roman" w:cs="Times New Roman"/>
                <w:color w:val="000000"/>
                <w:lang w:eastAsia="en-US"/>
              </w:rPr>
            </w:pPr>
            <w:r w:rsidRPr="00FE7AE7">
              <w:rPr>
                <w:rFonts w:ascii="Times New Roman" w:hAnsi="Times New Roman" w:cs="Times New Roman"/>
                <w:color w:val="000000"/>
              </w:rPr>
              <w:t>7.55</w:t>
            </w:r>
          </w:p>
        </w:tc>
      </w:tr>
      <w:tr w:rsidR="00C83C86" w:rsidRPr="00BA0095" w14:paraId="217F660B" w14:textId="77777777" w:rsidTr="008B5496">
        <w:trPr>
          <w:trHeight w:val="288"/>
        </w:trPr>
        <w:tc>
          <w:tcPr>
            <w:tcW w:w="543" w:type="pct"/>
            <w:tcBorders>
              <w:left w:val="single" w:sz="4" w:space="0" w:color="auto"/>
              <w:right w:val="single" w:sz="4" w:space="0" w:color="auto"/>
            </w:tcBorders>
          </w:tcPr>
          <w:p w14:paraId="602822E2"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8</w:t>
            </w:r>
          </w:p>
        </w:tc>
        <w:tc>
          <w:tcPr>
            <w:tcW w:w="1203" w:type="pct"/>
            <w:tcBorders>
              <w:left w:val="single" w:sz="4" w:space="0" w:color="auto"/>
              <w:right w:val="single" w:sz="4" w:space="0" w:color="auto"/>
            </w:tcBorders>
            <w:noWrap/>
            <w:hideMark/>
          </w:tcPr>
          <w:p w14:paraId="7ECF1A67"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Model 6</w:t>
            </w:r>
          </w:p>
        </w:tc>
        <w:tc>
          <w:tcPr>
            <w:tcW w:w="1085" w:type="pct"/>
            <w:tcBorders>
              <w:top w:val="nil"/>
              <w:left w:val="nil"/>
              <w:bottom w:val="nil"/>
              <w:right w:val="single" w:sz="4" w:space="0" w:color="auto"/>
            </w:tcBorders>
            <w:shd w:val="clear" w:color="auto" w:fill="auto"/>
            <w:vAlign w:val="bottom"/>
          </w:tcPr>
          <w:p w14:paraId="6A34ED9B" w14:textId="77777777" w:rsidR="00C83C86" w:rsidRPr="00FE7AE7" w:rsidRDefault="00C83C86" w:rsidP="008B5496">
            <w:pPr>
              <w:jc w:val="center"/>
              <w:rPr>
                <w:rFonts w:ascii="Times New Roman" w:hAnsi="Times New Roman" w:cs="Times New Roman"/>
                <w:color w:val="000000"/>
              </w:rPr>
            </w:pPr>
            <w:r w:rsidRPr="00FE7AE7">
              <w:rPr>
                <w:color w:val="000000"/>
              </w:rPr>
              <w:t>1.92</w:t>
            </w:r>
          </w:p>
        </w:tc>
        <w:tc>
          <w:tcPr>
            <w:tcW w:w="1085" w:type="pct"/>
            <w:tcBorders>
              <w:top w:val="nil"/>
              <w:left w:val="single" w:sz="4" w:space="0" w:color="auto"/>
              <w:bottom w:val="nil"/>
              <w:right w:val="single" w:sz="4" w:space="0" w:color="auto"/>
            </w:tcBorders>
            <w:shd w:val="clear" w:color="auto" w:fill="auto"/>
            <w:vAlign w:val="bottom"/>
          </w:tcPr>
          <w:p w14:paraId="0B8C4DD2" w14:textId="77777777" w:rsidR="00C83C86" w:rsidRPr="00FE7AE7" w:rsidRDefault="00C83C86" w:rsidP="008B5496">
            <w:pPr>
              <w:jc w:val="center"/>
              <w:rPr>
                <w:rFonts w:ascii="Times New Roman" w:hAnsi="Times New Roman" w:cs="Times New Roman"/>
                <w:color w:val="000000"/>
              </w:rPr>
            </w:pPr>
            <w:r>
              <w:rPr>
                <w:color w:val="000000"/>
                <w:sz w:val="22"/>
                <w:szCs w:val="22"/>
              </w:rPr>
              <w:t>-0.101</w:t>
            </w:r>
          </w:p>
        </w:tc>
        <w:tc>
          <w:tcPr>
            <w:tcW w:w="1084" w:type="pct"/>
            <w:tcBorders>
              <w:top w:val="nil"/>
              <w:left w:val="single" w:sz="4" w:space="0" w:color="auto"/>
              <w:bottom w:val="nil"/>
              <w:right w:val="single" w:sz="4" w:space="0" w:color="auto"/>
            </w:tcBorders>
            <w:shd w:val="clear" w:color="auto" w:fill="auto"/>
            <w:noWrap/>
            <w:vAlign w:val="bottom"/>
            <w:hideMark/>
          </w:tcPr>
          <w:p w14:paraId="20922418" w14:textId="77777777" w:rsidR="00C83C86" w:rsidRPr="00FE7AE7" w:rsidRDefault="00C83C86" w:rsidP="008B5496">
            <w:pPr>
              <w:jc w:val="center"/>
              <w:rPr>
                <w:rFonts w:ascii="Times New Roman" w:eastAsia="Times New Roman" w:hAnsi="Times New Roman" w:cs="Times New Roman"/>
                <w:color w:val="000000"/>
                <w:lang w:eastAsia="en-US"/>
              </w:rPr>
            </w:pPr>
            <w:r w:rsidRPr="00FE7AE7">
              <w:rPr>
                <w:rFonts w:ascii="Times New Roman" w:hAnsi="Times New Roman" w:cs="Times New Roman"/>
                <w:color w:val="000000"/>
              </w:rPr>
              <w:t>7.97</w:t>
            </w:r>
          </w:p>
        </w:tc>
      </w:tr>
      <w:tr w:rsidR="00C83C86" w:rsidRPr="00BA0095" w14:paraId="41B8992D" w14:textId="77777777" w:rsidTr="008B5496">
        <w:trPr>
          <w:trHeight w:val="288"/>
        </w:trPr>
        <w:tc>
          <w:tcPr>
            <w:tcW w:w="543" w:type="pct"/>
            <w:tcBorders>
              <w:left w:val="single" w:sz="4" w:space="0" w:color="auto"/>
              <w:right w:val="single" w:sz="4" w:space="0" w:color="auto"/>
            </w:tcBorders>
          </w:tcPr>
          <w:p w14:paraId="2F7A65C0"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9</w:t>
            </w:r>
          </w:p>
        </w:tc>
        <w:tc>
          <w:tcPr>
            <w:tcW w:w="1203" w:type="pct"/>
            <w:tcBorders>
              <w:left w:val="single" w:sz="4" w:space="0" w:color="auto"/>
              <w:right w:val="single" w:sz="4" w:space="0" w:color="auto"/>
            </w:tcBorders>
            <w:noWrap/>
            <w:hideMark/>
          </w:tcPr>
          <w:p w14:paraId="059E419B"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Model 7</w:t>
            </w:r>
          </w:p>
        </w:tc>
        <w:tc>
          <w:tcPr>
            <w:tcW w:w="1085" w:type="pct"/>
            <w:tcBorders>
              <w:top w:val="nil"/>
              <w:left w:val="nil"/>
              <w:bottom w:val="nil"/>
              <w:right w:val="single" w:sz="4" w:space="0" w:color="auto"/>
            </w:tcBorders>
            <w:shd w:val="clear" w:color="auto" w:fill="auto"/>
            <w:vAlign w:val="bottom"/>
          </w:tcPr>
          <w:p w14:paraId="23479C65" w14:textId="77777777" w:rsidR="00C83C86" w:rsidRPr="00FE7AE7" w:rsidRDefault="00C83C86" w:rsidP="008B5496">
            <w:pPr>
              <w:jc w:val="center"/>
              <w:rPr>
                <w:rFonts w:ascii="Times New Roman" w:hAnsi="Times New Roman" w:cs="Times New Roman"/>
                <w:color w:val="000000"/>
              </w:rPr>
            </w:pPr>
            <w:r w:rsidRPr="00FE7AE7">
              <w:rPr>
                <w:color w:val="000000"/>
              </w:rPr>
              <w:t>2.68</w:t>
            </w:r>
          </w:p>
        </w:tc>
        <w:tc>
          <w:tcPr>
            <w:tcW w:w="1085" w:type="pct"/>
            <w:tcBorders>
              <w:top w:val="nil"/>
              <w:left w:val="single" w:sz="4" w:space="0" w:color="auto"/>
              <w:bottom w:val="nil"/>
              <w:right w:val="single" w:sz="4" w:space="0" w:color="auto"/>
            </w:tcBorders>
            <w:shd w:val="clear" w:color="auto" w:fill="auto"/>
            <w:vAlign w:val="bottom"/>
          </w:tcPr>
          <w:p w14:paraId="0D47944E" w14:textId="77777777" w:rsidR="00C83C86" w:rsidRPr="00FE7AE7" w:rsidRDefault="00C83C86" w:rsidP="008B5496">
            <w:pPr>
              <w:jc w:val="center"/>
              <w:rPr>
                <w:rFonts w:ascii="Times New Roman" w:hAnsi="Times New Roman" w:cs="Times New Roman"/>
                <w:color w:val="000000"/>
              </w:rPr>
            </w:pPr>
            <w:r>
              <w:rPr>
                <w:color w:val="000000"/>
                <w:sz w:val="22"/>
                <w:szCs w:val="22"/>
              </w:rPr>
              <w:t>-0.102</w:t>
            </w:r>
          </w:p>
        </w:tc>
        <w:tc>
          <w:tcPr>
            <w:tcW w:w="1084" w:type="pct"/>
            <w:tcBorders>
              <w:top w:val="nil"/>
              <w:left w:val="single" w:sz="4" w:space="0" w:color="auto"/>
              <w:bottom w:val="nil"/>
              <w:right w:val="single" w:sz="4" w:space="0" w:color="auto"/>
            </w:tcBorders>
            <w:shd w:val="clear" w:color="auto" w:fill="auto"/>
            <w:noWrap/>
            <w:vAlign w:val="bottom"/>
            <w:hideMark/>
          </w:tcPr>
          <w:p w14:paraId="0E111E00" w14:textId="77777777" w:rsidR="00C83C86" w:rsidRPr="00FE7AE7" w:rsidRDefault="00C83C86" w:rsidP="008B5496">
            <w:pPr>
              <w:jc w:val="center"/>
              <w:rPr>
                <w:rFonts w:ascii="Times New Roman" w:eastAsia="Times New Roman" w:hAnsi="Times New Roman" w:cs="Times New Roman"/>
                <w:color w:val="000000"/>
                <w:lang w:eastAsia="en-US"/>
              </w:rPr>
            </w:pPr>
            <w:r w:rsidRPr="00FE7AE7">
              <w:rPr>
                <w:rFonts w:ascii="Times New Roman" w:hAnsi="Times New Roman" w:cs="Times New Roman"/>
                <w:color w:val="000000"/>
              </w:rPr>
              <w:t>8.37</w:t>
            </w:r>
          </w:p>
        </w:tc>
      </w:tr>
      <w:tr w:rsidR="00C83C86" w:rsidRPr="00BA0095" w14:paraId="1B9C3002" w14:textId="77777777" w:rsidTr="008B5496">
        <w:trPr>
          <w:trHeight w:val="288"/>
        </w:trPr>
        <w:tc>
          <w:tcPr>
            <w:tcW w:w="543" w:type="pct"/>
            <w:tcBorders>
              <w:left w:val="single" w:sz="4" w:space="0" w:color="auto"/>
              <w:right w:val="single" w:sz="4" w:space="0" w:color="auto"/>
            </w:tcBorders>
          </w:tcPr>
          <w:p w14:paraId="61D92F82"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10</w:t>
            </w:r>
          </w:p>
        </w:tc>
        <w:tc>
          <w:tcPr>
            <w:tcW w:w="1203" w:type="pct"/>
            <w:tcBorders>
              <w:left w:val="single" w:sz="4" w:space="0" w:color="auto"/>
              <w:right w:val="single" w:sz="4" w:space="0" w:color="auto"/>
            </w:tcBorders>
            <w:noWrap/>
            <w:hideMark/>
          </w:tcPr>
          <w:p w14:paraId="64007819"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Model 5</w:t>
            </w:r>
          </w:p>
        </w:tc>
        <w:tc>
          <w:tcPr>
            <w:tcW w:w="1085" w:type="pct"/>
            <w:tcBorders>
              <w:top w:val="nil"/>
              <w:left w:val="nil"/>
              <w:bottom w:val="nil"/>
              <w:right w:val="single" w:sz="4" w:space="0" w:color="auto"/>
            </w:tcBorders>
            <w:shd w:val="clear" w:color="auto" w:fill="auto"/>
            <w:vAlign w:val="bottom"/>
          </w:tcPr>
          <w:p w14:paraId="010C4A2D" w14:textId="77777777" w:rsidR="00C83C86" w:rsidRPr="00FE7AE7" w:rsidRDefault="00C83C86" w:rsidP="008B5496">
            <w:pPr>
              <w:jc w:val="center"/>
              <w:rPr>
                <w:rFonts w:ascii="Times New Roman" w:hAnsi="Times New Roman" w:cs="Times New Roman"/>
                <w:color w:val="000000"/>
              </w:rPr>
            </w:pPr>
            <w:r w:rsidRPr="00FE7AE7">
              <w:rPr>
                <w:color w:val="000000"/>
              </w:rPr>
              <w:t>2.02</w:t>
            </w:r>
          </w:p>
        </w:tc>
        <w:tc>
          <w:tcPr>
            <w:tcW w:w="1085" w:type="pct"/>
            <w:tcBorders>
              <w:top w:val="nil"/>
              <w:left w:val="single" w:sz="4" w:space="0" w:color="auto"/>
              <w:bottom w:val="nil"/>
              <w:right w:val="single" w:sz="4" w:space="0" w:color="auto"/>
            </w:tcBorders>
            <w:shd w:val="clear" w:color="auto" w:fill="auto"/>
            <w:vAlign w:val="bottom"/>
          </w:tcPr>
          <w:p w14:paraId="4F8653D3" w14:textId="77777777" w:rsidR="00C83C86" w:rsidRPr="00FE7AE7" w:rsidRDefault="00C83C86" w:rsidP="008B5496">
            <w:pPr>
              <w:jc w:val="center"/>
              <w:rPr>
                <w:rFonts w:ascii="Times New Roman" w:hAnsi="Times New Roman" w:cs="Times New Roman"/>
                <w:color w:val="000000"/>
              </w:rPr>
            </w:pPr>
            <w:r>
              <w:rPr>
                <w:color w:val="000000"/>
                <w:sz w:val="22"/>
                <w:szCs w:val="22"/>
              </w:rPr>
              <w:t>-0.101</w:t>
            </w:r>
          </w:p>
        </w:tc>
        <w:tc>
          <w:tcPr>
            <w:tcW w:w="1084" w:type="pct"/>
            <w:tcBorders>
              <w:top w:val="nil"/>
              <w:left w:val="single" w:sz="4" w:space="0" w:color="auto"/>
              <w:bottom w:val="nil"/>
              <w:right w:val="single" w:sz="4" w:space="0" w:color="auto"/>
            </w:tcBorders>
            <w:shd w:val="clear" w:color="auto" w:fill="auto"/>
            <w:noWrap/>
            <w:vAlign w:val="bottom"/>
            <w:hideMark/>
          </w:tcPr>
          <w:p w14:paraId="6F4A9753" w14:textId="77777777" w:rsidR="00C83C86" w:rsidRPr="00FE7AE7" w:rsidRDefault="00C83C86" w:rsidP="008B5496">
            <w:pPr>
              <w:jc w:val="center"/>
              <w:rPr>
                <w:rFonts w:ascii="Times New Roman" w:eastAsia="Times New Roman" w:hAnsi="Times New Roman" w:cs="Times New Roman"/>
                <w:color w:val="000000"/>
                <w:lang w:eastAsia="en-US"/>
              </w:rPr>
            </w:pPr>
            <w:r w:rsidRPr="00FE7AE7">
              <w:rPr>
                <w:rFonts w:ascii="Times New Roman" w:hAnsi="Times New Roman" w:cs="Times New Roman"/>
                <w:color w:val="000000"/>
              </w:rPr>
              <w:t>8.83</w:t>
            </w:r>
          </w:p>
        </w:tc>
      </w:tr>
      <w:tr w:rsidR="00C83C86" w:rsidRPr="00BA0095" w14:paraId="19CDE192" w14:textId="77777777" w:rsidTr="008B5496">
        <w:trPr>
          <w:trHeight w:val="288"/>
        </w:trPr>
        <w:tc>
          <w:tcPr>
            <w:tcW w:w="543" w:type="pct"/>
            <w:tcBorders>
              <w:left w:val="single" w:sz="4" w:space="0" w:color="auto"/>
              <w:bottom w:val="nil"/>
              <w:right w:val="single" w:sz="4" w:space="0" w:color="auto"/>
            </w:tcBorders>
          </w:tcPr>
          <w:p w14:paraId="51EA8315"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11</w:t>
            </w:r>
          </w:p>
        </w:tc>
        <w:tc>
          <w:tcPr>
            <w:tcW w:w="1203" w:type="pct"/>
            <w:tcBorders>
              <w:left w:val="single" w:sz="4" w:space="0" w:color="auto"/>
              <w:bottom w:val="nil"/>
              <w:right w:val="single" w:sz="4" w:space="0" w:color="auto"/>
            </w:tcBorders>
            <w:noWrap/>
            <w:hideMark/>
          </w:tcPr>
          <w:p w14:paraId="2CB3ABF9"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Model 9</w:t>
            </w:r>
          </w:p>
        </w:tc>
        <w:tc>
          <w:tcPr>
            <w:tcW w:w="1085" w:type="pct"/>
            <w:tcBorders>
              <w:top w:val="nil"/>
              <w:left w:val="nil"/>
              <w:bottom w:val="nil"/>
              <w:right w:val="single" w:sz="4" w:space="0" w:color="auto"/>
            </w:tcBorders>
            <w:shd w:val="clear" w:color="auto" w:fill="auto"/>
            <w:vAlign w:val="bottom"/>
          </w:tcPr>
          <w:p w14:paraId="03D94627" w14:textId="77777777" w:rsidR="00C83C86" w:rsidRPr="00FE7AE7" w:rsidRDefault="00C83C86" w:rsidP="008B5496">
            <w:pPr>
              <w:jc w:val="center"/>
              <w:rPr>
                <w:rFonts w:ascii="Times New Roman" w:hAnsi="Times New Roman" w:cs="Times New Roman"/>
                <w:color w:val="000000"/>
              </w:rPr>
            </w:pPr>
            <w:r w:rsidRPr="00FE7AE7">
              <w:rPr>
                <w:color w:val="000000"/>
              </w:rPr>
              <w:t>7.30</w:t>
            </w:r>
          </w:p>
        </w:tc>
        <w:tc>
          <w:tcPr>
            <w:tcW w:w="1085" w:type="pct"/>
            <w:tcBorders>
              <w:top w:val="nil"/>
              <w:left w:val="single" w:sz="4" w:space="0" w:color="auto"/>
              <w:bottom w:val="nil"/>
              <w:right w:val="single" w:sz="4" w:space="0" w:color="auto"/>
            </w:tcBorders>
            <w:shd w:val="clear" w:color="auto" w:fill="auto"/>
            <w:vAlign w:val="bottom"/>
          </w:tcPr>
          <w:p w14:paraId="4164FFB7" w14:textId="77777777" w:rsidR="00C83C86" w:rsidRPr="00FE7AE7" w:rsidRDefault="00C83C86" w:rsidP="008B5496">
            <w:pPr>
              <w:jc w:val="center"/>
              <w:rPr>
                <w:rFonts w:ascii="Times New Roman" w:hAnsi="Times New Roman" w:cs="Times New Roman"/>
                <w:color w:val="000000"/>
              </w:rPr>
            </w:pPr>
            <w:r>
              <w:rPr>
                <w:color w:val="000000"/>
                <w:sz w:val="22"/>
                <w:szCs w:val="22"/>
              </w:rPr>
              <w:t>-0.102</w:t>
            </w:r>
          </w:p>
        </w:tc>
        <w:tc>
          <w:tcPr>
            <w:tcW w:w="1084" w:type="pct"/>
            <w:tcBorders>
              <w:top w:val="nil"/>
              <w:left w:val="single" w:sz="4" w:space="0" w:color="auto"/>
              <w:bottom w:val="nil"/>
              <w:right w:val="single" w:sz="4" w:space="0" w:color="auto"/>
            </w:tcBorders>
            <w:shd w:val="clear" w:color="auto" w:fill="auto"/>
            <w:noWrap/>
            <w:vAlign w:val="bottom"/>
            <w:hideMark/>
          </w:tcPr>
          <w:p w14:paraId="5AB2D623" w14:textId="77777777" w:rsidR="00C83C86" w:rsidRPr="00FE7AE7" w:rsidRDefault="00C83C86" w:rsidP="008B5496">
            <w:pPr>
              <w:jc w:val="center"/>
              <w:rPr>
                <w:rFonts w:ascii="Times New Roman" w:eastAsia="Times New Roman" w:hAnsi="Times New Roman" w:cs="Times New Roman"/>
                <w:color w:val="000000"/>
                <w:lang w:eastAsia="en-US"/>
              </w:rPr>
            </w:pPr>
            <w:r w:rsidRPr="00FE7AE7">
              <w:rPr>
                <w:rFonts w:ascii="Times New Roman" w:hAnsi="Times New Roman" w:cs="Times New Roman"/>
                <w:color w:val="000000"/>
              </w:rPr>
              <w:t>16.29</w:t>
            </w:r>
          </w:p>
        </w:tc>
      </w:tr>
      <w:tr w:rsidR="00C83C86" w:rsidRPr="00BA0095" w14:paraId="3BF0B2D2" w14:textId="77777777" w:rsidTr="008B5496">
        <w:trPr>
          <w:trHeight w:val="288"/>
        </w:trPr>
        <w:tc>
          <w:tcPr>
            <w:tcW w:w="543" w:type="pct"/>
            <w:tcBorders>
              <w:top w:val="nil"/>
              <w:left w:val="single" w:sz="4" w:space="0" w:color="auto"/>
              <w:bottom w:val="single" w:sz="4" w:space="0" w:color="auto"/>
              <w:right w:val="single" w:sz="4" w:space="0" w:color="auto"/>
            </w:tcBorders>
          </w:tcPr>
          <w:p w14:paraId="0A536440"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12</w:t>
            </w:r>
          </w:p>
        </w:tc>
        <w:tc>
          <w:tcPr>
            <w:tcW w:w="1203" w:type="pct"/>
            <w:tcBorders>
              <w:top w:val="nil"/>
              <w:left w:val="single" w:sz="4" w:space="0" w:color="auto"/>
              <w:bottom w:val="single" w:sz="4" w:space="0" w:color="auto"/>
              <w:right w:val="single" w:sz="4" w:space="0" w:color="auto"/>
            </w:tcBorders>
            <w:noWrap/>
            <w:hideMark/>
          </w:tcPr>
          <w:p w14:paraId="3C39A64B" w14:textId="77777777" w:rsidR="00C83C86" w:rsidRPr="00FE7AE7" w:rsidRDefault="00C83C86" w:rsidP="008B5496">
            <w:pPr>
              <w:jc w:val="center"/>
              <w:rPr>
                <w:rFonts w:asciiTheme="majorHAnsi" w:eastAsia="Times New Roman" w:hAnsiTheme="majorHAnsi" w:cstheme="majorHAnsi"/>
                <w:color w:val="000000"/>
                <w:lang w:eastAsia="en-US"/>
              </w:rPr>
            </w:pPr>
            <w:r w:rsidRPr="00FE7AE7">
              <w:rPr>
                <w:rFonts w:asciiTheme="majorHAnsi" w:eastAsia="Times New Roman" w:hAnsiTheme="majorHAnsi" w:cstheme="majorHAnsi"/>
                <w:color w:val="000000"/>
                <w:lang w:eastAsia="en-US"/>
              </w:rPr>
              <w:t>Model 8</w:t>
            </w:r>
          </w:p>
        </w:tc>
        <w:tc>
          <w:tcPr>
            <w:tcW w:w="1085" w:type="pct"/>
            <w:tcBorders>
              <w:top w:val="nil"/>
              <w:left w:val="nil"/>
              <w:bottom w:val="single" w:sz="4" w:space="0" w:color="auto"/>
              <w:right w:val="single" w:sz="4" w:space="0" w:color="auto"/>
            </w:tcBorders>
            <w:shd w:val="clear" w:color="auto" w:fill="auto"/>
            <w:vAlign w:val="bottom"/>
          </w:tcPr>
          <w:p w14:paraId="0AAD6A2F" w14:textId="77777777" w:rsidR="00C83C86" w:rsidRPr="00FE7AE7" w:rsidRDefault="00C83C86" w:rsidP="008B5496">
            <w:pPr>
              <w:jc w:val="center"/>
              <w:rPr>
                <w:rFonts w:ascii="Times New Roman" w:hAnsi="Times New Roman" w:cs="Times New Roman"/>
                <w:color w:val="000000"/>
              </w:rPr>
            </w:pPr>
            <w:r w:rsidRPr="00FE7AE7">
              <w:rPr>
                <w:color w:val="000000"/>
              </w:rPr>
              <w:t>13.56</w:t>
            </w:r>
          </w:p>
        </w:tc>
        <w:tc>
          <w:tcPr>
            <w:tcW w:w="1085" w:type="pct"/>
            <w:tcBorders>
              <w:top w:val="nil"/>
              <w:left w:val="single" w:sz="4" w:space="0" w:color="auto"/>
              <w:bottom w:val="single" w:sz="4" w:space="0" w:color="auto"/>
              <w:right w:val="single" w:sz="4" w:space="0" w:color="auto"/>
            </w:tcBorders>
            <w:shd w:val="clear" w:color="auto" w:fill="auto"/>
            <w:vAlign w:val="bottom"/>
          </w:tcPr>
          <w:p w14:paraId="39CF45DF" w14:textId="77777777" w:rsidR="00C83C86" w:rsidRPr="00FE7AE7" w:rsidRDefault="00C83C86" w:rsidP="008B5496">
            <w:pPr>
              <w:jc w:val="center"/>
              <w:rPr>
                <w:rFonts w:ascii="Times New Roman" w:hAnsi="Times New Roman" w:cs="Times New Roman"/>
                <w:color w:val="000000"/>
              </w:rPr>
            </w:pPr>
            <w:r>
              <w:rPr>
                <w:color w:val="000000"/>
                <w:sz w:val="22"/>
                <w:szCs w:val="22"/>
              </w:rPr>
              <w:t>-0.101</w:t>
            </w:r>
          </w:p>
        </w:tc>
        <w:tc>
          <w:tcPr>
            <w:tcW w:w="1084" w:type="pct"/>
            <w:tcBorders>
              <w:top w:val="nil"/>
              <w:left w:val="single" w:sz="4" w:space="0" w:color="auto"/>
              <w:bottom w:val="single" w:sz="4" w:space="0" w:color="auto"/>
              <w:right w:val="single" w:sz="4" w:space="0" w:color="auto"/>
            </w:tcBorders>
            <w:shd w:val="clear" w:color="auto" w:fill="auto"/>
            <w:noWrap/>
            <w:vAlign w:val="bottom"/>
            <w:hideMark/>
          </w:tcPr>
          <w:p w14:paraId="5FB849B6" w14:textId="77777777" w:rsidR="00C83C86" w:rsidRPr="00FE7AE7" w:rsidRDefault="00C83C86" w:rsidP="008B5496">
            <w:pPr>
              <w:jc w:val="center"/>
              <w:rPr>
                <w:rFonts w:ascii="Times New Roman" w:eastAsia="Times New Roman" w:hAnsi="Times New Roman" w:cs="Times New Roman"/>
                <w:color w:val="000000"/>
                <w:lang w:eastAsia="en-US"/>
              </w:rPr>
            </w:pPr>
            <w:r w:rsidRPr="00FE7AE7">
              <w:rPr>
                <w:rFonts w:ascii="Times New Roman" w:hAnsi="Times New Roman" w:cs="Times New Roman"/>
                <w:color w:val="000000"/>
              </w:rPr>
              <w:t>25.04</w:t>
            </w:r>
          </w:p>
        </w:tc>
      </w:tr>
    </w:tbl>
    <w:p w14:paraId="1C08E4C1" w14:textId="77777777" w:rsidR="00C83C86" w:rsidRPr="006F5E8B" w:rsidRDefault="00C83C86" w:rsidP="00C83C86">
      <w:pPr>
        <w:autoSpaceDE w:val="0"/>
        <w:autoSpaceDN w:val="0"/>
        <w:adjustRightInd w:val="0"/>
        <w:spacing w:after="200" w:line="276" w:lineRule="auto"/>
        <w:ind w:firstLine="0"/>
        <w:rPr>
          <w:rFonts w:asciiTheme="majorHAnsi" w:hAnsiTheme="majorHAnsi" w:cstheme="majorHAnsi"/>
          <w:lang w:val="en"/>
        </w:rPr>
      </w:pPr>
    </w:p>
    <w:p w14:paraId="1C3C7803" w14:textId="77777777" w:rsidR="00C83C86" w:rsidRPr="006F5E8B" w:rsidRDefault="00C83C86" w:rsidP="00C83C86">
      <w:pPr>
        <w:spacing w:line="240" w:lineRule="auto"/>
        <w:ind w:firstLine="0"/>
        <w:rPr>
          <w:rFonts w:asciiTheme="majorHAnsi" w:hAnsiTheme="majorHAnsi" w:cstheme="majorHAnsi"/>
        </w:rPr>
      </w:pPr>
    </w:p>
    <w:p w14:paraId="56D4D1E5" w14:textId="77777777" w:rsidR="00C83C86" w:rsidRPr="006F5E8B" w:rsidRDefault="00C83C86" w:rsidP="00C83C86">
      <w:pPr>
        <w:ind w:firstLine="0"/>
        <w:rPr>
          <w:rFonts w:asciiTheme="majorHAnsi" w:hAnsiTheme="majorHAnsi" w:cstheme="majorHAnsi"/>
        </w:rPr>
      </w:pPr>
    </w:p>
    <w:p w14:paraId="3163822A" w14:textId="77777777" w:rsidR="001615AB" w:rsidRDefault="001615AB" w:rsidP="00CC3CA2">
      <w:pPr>
        <w:pStyle w:val="NoSpacing"/>
        <w:keepNext/>
        <w:spacing w:after="240" w:line="240" w:lineRule="auto"/>
        <w:rPr>
          <w:rFonts w:ascii="Times New Roman" w:hAnsi="Times New Roman" w:cs="Times New Roman"/>
          <w:b/>
        </w:rPr>
      </w:pPr>
    </w:p>
    <w:p w14:paraId="02454EC9" w14:textId="77777777" w:rsidR="001615AB" w:rsidRDefault="001615AB" w:rsidP="00CC3CA2">
      <w:pPr>
        <w:pStyle w:val="NoSpacing"/>
        <w:keepNext/>
        <w:spacing w:after="240" w:line="240" w:lineRule="auto"/>
        <w:rPr>
          <w:rFonts w:ascii="Times New Roman" w:hAnsi="Times New Roman" w:cs="Times New Roman"/>
          <w:b/>
        </w:rPr>
      </w:pPr>
    </w:p>
    <w:p w14:paraId="7C6124B6" w14:textId="77777777" w:rsidR="001615AB" w:rsidRDefault="001615AB" w:rsidP="00CC3CA2">
      <w:pPr>
        <w:pStyle w:val="NoSpacing"/>
        <w:keepNext/>
        <w:spacing w:after="240" w:line="240" w:lineRule="auto"/>
        <w:rPr>
          <w:rFonts w:ascii="Times New Roman" w:hAnsi="Times New Roman" w:cs="Times New Roman"/>
          <w:b/>
        </w:rPr>
      </w:pPr>
    </w:p>
    <w:p w14:paraId="2B9F3414" w14:textId="77777777" w:rsidR="001615AB" w:rsidRDefault="001615AB" w:rsidP="00CC3CA2">
      <w:pPr>
        <w:pStyle w:val="NoSpacing"/>
        <w:keepNext/>
        <w:spacing w:after="240" w:line="240" w:lineRule="auto"/>
        <w:rPr>
          <w:rFonts w:ascii="Times New Roman" w:hAnsi="Times New Roman" w:cs="Times New Roman"/>
          <w:b/>
        </w:rPr>
      </w:pPr>
    </w:p>
    <w:p w14:paraId="5AB81CAB" w14:textId="77777777" w:rsidR="001615AB" w:rsidRDefault="001615AB" w:rsidP="00CC3CA2">
      <w:pPr>
        <w:pStyle w:val="NoSpacing"/>
        <w:keepNext/>
        <w:spacing w:after="240" w:line="240" w:lineRule="auto"/>
        <w:rPr>
          <w:rFonts w:ascii="Times New Roman" w:hAnsi="Times New Roman" w:cs="Times New Roman"/>
          <w:b/>
        </w:rPr>
      </w:pPr>
    </w:p>
    <w:p w14:paraId="3958C02B" w14:textId="77777777" w:rsidR="001615AB" w:rsidRDefault="001615AB" w:rsidP="00CC3CA2">
      <w:pPr>
        <w:pStyle w:val="NoSpacing"/>
        <w:keepNext/>
        <w:spacing w:after="240" w:line="240" w:lineRule="auto"/>
        <w:rPr>
          <w:rFonts w:ascii="Times New Roman" w:hAnsi="Times New Roman" w:cs="Times New Roman"/>
          <w:b/>
        </w:rPr>
      </w:pPr>
    </w:p>
    <w:p w14:paraId="1B3E5934" w14:textId="7A284AA2" w:rsidR="001615AB" w:rsidRDefault="001615AB" w:rsidP="00CC3CA2">
      <w:pPr>
        <w:pStyle w:val="NoSpacing"/>
        <w:keepNext/>
        <w:spacing w:after="240" w:line="240" w:lineRule="auto"/>
        <w:rPr>
          <w:rFonts w:ascii="Times New Roman" w:hAnsi="Times New Roman" w:cs="Times New Roman"/>
          <w:b/>
        </w:rPr>
      </w:pPr>
    </w:p>
    <w:p w14:paraId="76C4199E" w14:textId="0FA6EF2D" w:rsidR="00C85566" w:rsidRDefault="00C85566" w:rsidP="00CC3CA2">
      <w:pPr>
        <w:pStyle w:val="NoSpacing"/>
        <w:keepNext/>
        <w:spacing w:after="240" w:line="240" w:lineRule="auto"/>
        <w:rPr>
          <w:rFonts w:ascii="Times New Roman" w:hAnsi="Times New Roman" w:cs="Times New Roman"/>
          <w:b/>
        </w:rPr>
      </w:pPr>
    </w:p>
    <w:p w14:paraId="12324E31" w14:textId="4E044387" w:rsidR="00DA3875" w:rsidRDefault="00DA3875">
      <w:pPr>
        <w:rPr>
          <w:rFonts w:ascii="Times New Roman" w:hAnsi="Times New Roman" w:cs="Times New Roman"/>
          <w:b/>
        </w:rPr>
      </w:pPr>
      <w:r>
        <w:rPr>
          <w:rFonts w:ascii="Times New Roman" w:hAnsi="Times New Roman" w:cs="Times New Roman"/>
          <w:b/>
        </w:rPr>
        <w:br w:type="page"/>
      </w:r>
    </w:p>
    <w:p w14:paraId="62A0C44F" w14:textId="552B13D9" w:rsidR="000875AC" w:rsidRDefault="000875AC" w:rsidP="000875AC">
      <w:pPr>
        <w:pStyle w:val="TableFigure"/>
        <w:spacing w:line="240" w:lineRule="auto"/>
        <w:rPr>
          <w:rFonts w:asciiTheme="majorHAnsi" w:hAnsiTheme="majorHAnsi" w:cstheme="majorHAnsi"/>
          <w:bCs/>
        </w:rPr>
      </w:pPr>
      <w:bookmarkStart w:id="17" w:name="_Hlk70940547"/>
      <w:r w:rsidRPr="00903EF0">
        <w:rPr>
          <w:rFonts w:asciiTheme="majorHAnsi" w:hAnsiTheme="majorHAnsi" w:cstheme="majorHAnsi"/>
          <w:b/>
        </w:rPr>
        <w:lastRenderedPageBreak/>
        <w:t xml:space="preserve">Exhibit </w:t>
      </w:r>
      <w:r>
        <w:rPr>
          <w:rFonts w:asciiTheme="majorHAnsi" w:hAnsiTheme="majorHAnsi" w:cstheme="majorHAnsi"/>
          <w:b/>
        </w:rPr>
        <w:t>11</w:t>
      </w:r>
      <w:r w:rsidRPr="00903EF0">
        <w:rPr>
          <w:rFonts w:asciiTheme="majorHAnsi" w:hAnsiTheme="majorHAnsi" w:cstheme="majorHAnsi"/>
          <w:b/>
        </w:rPr>
        <w:t xml:space="preserve">: </w:t>
      </w:r>
      <w:r>
        <w:rPr>
          <w:rFonts w:asciiTheme="majorHAnsi" w:hAnsiTheme="majorHAnsi" w:cstheme="majorHAnsi"/>
          <w:b/>
        </w:rPr>
        <w:t xml:space="preserve"> </w:t>
      </w:r>
      <w:r w:rsidRPr="00FC214E">
        <w:rPr>
          <w:rFonts w:asciiTheme="majorHAnsi" w:hAnsiTheme="majorHAnsi" w:cstheme="majorHAnsi"/>
          <w:bCs/>
        </w:rPr>
        <w:t>Twelve Models combined by FSD showing th</w:t>
      </w:r>
      <w:r>
        <w:rPr>
          <w:rFonts w:asciiTheme="majorHAnsi" w:hAnsiTheme="majorHAnsi" w:cstheme="majorHAnsi"/>
          <w:bCs/>
        </w:rPr>
        <w:t>e difference between Vendor Forecasted Standard Deviations and the Observed Standard Deviations with other standard AVM Performance Metrics used to evaluate the performance of AVM’s.</w:t>
      </w:r>
    </w:p>
    <w:p w14:paraId="70A55C99" w14:textId="12DE4196" w:rsidR="00560DE3" w:rsidRDefault="00560DE3" w:rsidP="000875AC">
      <w:pPr>
        <w:pStyle w:val="TableFigure"/>
        <w:spacing w:line="240" w:lineRule="auto"/>
        <w:rPr>
          <w:rFonts w:asciiTheme="majorHAnsi" w:hAnsiTheme="majorHAnsi" w:cstheme="majorHAnsi"/>
          <w:bCs/>
        </w:rPr>
      </w:pPr>
    </w:p>
    <w:tbl>
      <w:tblPr>
        <w:tblW w:w="9400" w:type="dxa"/>
        <w:tblLook w:val="04A0" w:firstRow="1" w:lastRow="0" w:firstColumn="1" w:lastColumn="0" w:noHBand="0" w:noVBand="1"/>
      </w:tblPr>
      <w:tblGrid>
        <w:gridCol w:w="1071"/>
        <w:gridCol w:w="1099"/>
        <w:gridCol w:w="1169"/>
        <w:gridCol w:w="1120"/>
        <w:gridCol w:w="1040"/>
        <w:gridCol w:w="1040"/>
        <w:gridCol w:w="1033"/>
        <w:gridCol w:w="1040"/>
        <w:gridCol w:w="1040"/>
      </w:tblGrid>
      <w:tr w:rsidR="00560DE3" w:rsidRPr="00560DE3" w14:paraId="6FE50C9C" w14:textId="77777777" w:rsidTr="00560DE3">
        <w:trPr>
          <w:trHeight w:val="864"/>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08537"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Vendor-Reported FSD</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10391E2"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Observed Standard Deviation</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1004B16"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Deviation Difference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34D8FD7"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Count of AVM Values</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19406E5"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Test Stat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6D94639"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p-value</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867DA0A"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Mean Absolute Error</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324899A"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PE10%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BBF95DD"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RT20%</w:t>
            </w:r>
          </w:p>
        </w:tc>
      </w:tr>
      <w:tr w:rsidR="00560DE3" w:rsidRPr="00560DE3" w14:paraId="2244EA7C" w14:textId="77777777" w:rsidTr="00560DE3">
        <w:trPr>
          <w:trHeight w:val="288"/>
        </w:trPr>
        <w:tc>
          <w:tcPr>
            <w:tcW w:w="1040" w:type="dxa"/>
            <w:tcBorders>
              <w:top w:val="nil"/>
              <w:left w:val="single" w:sz="4" w:space="0" w:color="auto"/>
              <w:bottom w:val="single" w:sz="4" w:space="0" w:color="auto"/>
              <w:right w:val="single" w:sz="4" w:space="0" w:color="auto"/>
            </w:tcBorders>
            <w:shd w:val="clear" w:color="000000" w:fill="FFEB9C"/>
            <w:noWrap/>
            <w:vAlign w:val="bottom"/>
            <w:hideMark/>
          </w:tcPr>
          <w:p w14:paraId="4121BEE6" w14:textId="77777777" w:rsidR="00560DE3" w:rsidRPr="00560DE3" w:rsidRDefault="00560DE3" w:rsidP="00560DE3">
            <w:pPr>
              <w:spacing w:line="240" w:lineRule="auto"/>
              <w:ind w:firstLine="0"/>
              <w:jc w:val="center"/>
              <w:rPr>
                <w:rFonts w:ascii="Calibri" w:eastAsia="Times New Roman" w:hAnsi="Calibri" w:cs="Calibri"/>
                <w:color w:val="9C5700"/>
                <w:sz w:val="22"/>
                <w:szCs w:val="22"/>
                <w:lang w:eastAsia="en-US"/>
              </w:rPr>
            </w:pPr>
            <w:r w:rsidRPr="00560DE3">
              <w:rPr>
                <w:rFonts w:ascii="Calibri" w:eastAsia="Times New Roman" w:hAnsi="Calibri" w:cs="Calibri"/>
                <w:color w:val="9C5700"/>
                <w:sz w:val="22"/>
                <w:szCs w:val="22"/>
                <w:lang w:eastAsia="en-US"/>
              </w:rPr>
              <w:t>1</w:t>
            </w:r>
          </w:p>
        </w:tc>
        <w:tc>
          <w:tcPr>
            <w:tcW w:w="1040" w:type="dxa"/>
            <w:tcBorders>
              <w:top w:val="nil"/>
              <w:left w:val="nil"/>
              <w:bottom w:val="single" w:sz="4" w:space="0" w:color="auto"/>
              <w:right w:val="single" w:sz="4" w:space="0" w:color="auto"/>
            </w:tcBorders>
            <w:shd w:val="clear" w:color="auto" w:fill="auto"/>
            <w:noWrap/>
            <w:vAlign w:val="bottom"/>
            <w:hideMark/>
          </w:tcPr>
          <w:p w14:paraId="46A54BB4"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3.07%</w:t>
            </w:r>
          </w:p>
        </w:tc>
        <w:tc>
          <w:tcPr>
            <w:tcW w:w="1120" w:type="dxa"/>
            <w:tcBorders>
              <w:top w:val="nil"/>
              <w:left w:val="nil"/>
              <w:bottom w:val="single" w:sz="4" w:space="0" w:color="auto"/>
              <w:right w:val="single" w:sz="4" w:space="0" w:color="auto"/>
            </w:tcBorders>
            <w:shd w:val="clear" w:color="auto" w:fill="auto"/>
            <w:noWrap/>
            <w:vAlign w:val="bottom"/>
            <w:hideMark/>
          </w:tcPr>
          <w:p w14:paraId="4E56238A"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FF0000"/>
                <w:sz w:val="22"/>
                <w:szCs w:val="22"/>
                <w:lang w:eastAsia="en-US"/>
              </w:rPr>
              <w:t>(2.07)</w:t>
            </w:r>
          </w:p>
        </w:tc>
        <w:tc>
          <w:tcPr>
            <w:tcW w:w="1120" w:type="dxa"/>
            <w:tcBorders>
              <w:top w:val="nil"/>
              <w:left w:val="nil"/>
              <w:bottom w:val="single" w:sz="4" w:space="0" w:color="auto"/>
              <w:right w:val="single" w:sz="4" w:space="0" w:color="auto"/>
            </w:tcBorders>
            <w:shd w:val="clear" w:color="auto" w:fill="auto"/>
            <w:noWrap/>
            <w:vAlign w:val="bottom"/>
            <w:hideMark/>
          </w:tcPr>
          <w:p w14:paraId="599E353B"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19</w:t>
            </w:r>
          </w:p>
        </w:tc>
        <w:tc>
          <w:tcPr>
            <w:tcW w:w="1040" w:type="dxa"/>
            <w:tcBorders>
              <w:top w:val="nil"/>
              <w:left w:val="nil"/>
              <w:bottom w:val="single" w:sz="4" w:space="0" w:color="auto"/>
              <w:right w:val="single" w:sz="4" w:space="0" w:color="auto"/>
            </w:tcBorders>
            <w:shd w:val="clear" w:color="auto" w:fill="auto"/>
            <w:noWrap/>
            <w:vAlign w:val="bottom"/>
            <w:hideMark/>
          </w:tcPr>
          <w:p w14:paraId="256CF8F1"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169.6</w:t>
            </w:r>
          </w:p>
        </w:tc>
        <w:tc>
          <w:tcPr>
            <w:tcW w:w="1040" w:type="dxa"/>
            <w:tcBorders>
              <w:top w:val="nil"/>
              <w:left w:val="nil"/>
              <w:bottom w:val="single" w:sz="4" w:space="0" w:color="auto"/>
              <w:right w:val="single" w:sz="4" w:space="0" w:color="auto"/>
            </w:tcBorders>
            <w:shd w:val="clear" w:color="000000" w:fill="FFEB9C"/>
            <w:noWrap/>
            <w:vAlign w:val="bottom"/>
            <w:hideMark/>
          </w:tcPr>
          <w:p w14:paraId="60970D97" w14:textId="77777777" w:rsidR="00560DE3" w:rsidRPr="00560DE3" w:rsidRDefault="00560DE3" w:rsidP="00560DE3">
            <w:pPr>
              <w:spacing w:line="240" w:lineRule="auto"/>
              <w:ind w:firstLine="0"/>
              <w:jc w:val="center"/>
              <w:rPr>
                <w:rFonts w:ascii="Calibri" w:eastAsia="Times New Roman" w:hAnsi="Calibri" w:cs="Calibri"/>
                <w:color w:val="9C5700"/>
                <w:sz w:val="22"/>
                <w:szCs w:val="22"/>
                <w:lang w:eastAsia="en-US"/>
              </w:rPr>
            </w:pPr>
            <w:r w:rsidRPr="00560DE3">
              <w:rPr>
                <w:rFonts w:ascii="Calibri" w:eastAsia="Times New Roman" w:hAnsi="Calibri" w:cs="Calibri"/>
                <w:color w:val="9C5700"/>
                <w:sz w:val="22"/>
                <w:szCs w:val="22"/>
                <w:lang w:eastAsia="en-US"/>
              </w:rPr>
              <w:t>0.0000</w:t>
            </w:r>
          </w:p>
        </w:tc>
        <w:tc>
          <w:tcPr>
            <w:tcW w:w="920" w:type="dxa"/>
            <w:tcBorders>
              <w:top w:val="nil"/>
              <w:left w:val="nil"/>
              <w:bottom w:val="single" w:sz="4" w:space="0" w:color="auto"/>
              <w:right w:val="single" w:sz="4" w:space="0" w:color="auto"/>
            </w:tcBorders>
            <w:shd w:val="clear" w:color="auto" w:fill="auto"/>
            <w:noWrap/>
            <w:vAlign w:val="bottom"/>
            <w:hideMark/>
          </w:tcPr>
          <w:p w14:paraId="1DF1441B"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2.95%</w:t>
            </w:r>
          </w:p>
        </w:tc>
        <w:tc>
          <w:tcPr>
            <w:tcW w:w="1040" w:type="dxa"/>
            <w:tcBorders>
              <w:top w:val="nil"/>
              <w:left w:val="nil"/>
              <w:bottom w:val="single" w:sz="4" w:space="0" w:color="auto"/>
              <w:right w:val="single" w:sz="4" w:space="0" w:color="auto"/>
            </w:tcBorders>
            <w:shd w:val="clear" w:color="auto" w:fill="auto"/>
            <w:noWrap/>
            <w:vAlign w:val="bottom"/>
            <w:hideMark/>
          </w:tcPr>
          <w:p w14:paraId="4BCE8903"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100.0%</w:t>
            </w:r>
          </w:p>
        </w:tc>
        <w:tc>
          <w:tcPr>
            <w:tcW w:w="1040" w:type="dxa"/>
            <w:tcBorders>
              <w:top w:val="nil"/>
              <w:left w:val="nil"/>
              <w:bottom w:val="single" w:sz="4" w:space="0" w:color="auto"/>
              <w:right w:val="single" w:sz="4" w:space="0" w:color="auto"/>
            </w:tcBorders>
            <w:shd w:val="clear" w:color="auto" w:fill="auto"/>
            <w:noWrap/>
            <w:vAlign w:val="bottom"/>
            <w:hideMark/>
          </w:tcPr>
          <w:p w14:paraId="4D6B23B0"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 </w:t>
            </w:r>
          </w:p>
        </w:tc>
      </w:tr>
      <w:tr w:rsidR="00560DE3" w:rsidRPr="00560DE3" w14:paraId="35C5BD18" w14:textId="77777777" w:rsidTr="00560DE3">
        <w:trPr>
          <w:trHeight w:val="288"/>
        </w:trPr>
        <w:tc>
          <w:tcPr>
            <w:tcW w:w="1040" w:type="dxa"/>
            <w:tcBorders>
              <w:top w:val="nil"/>
              <w:left w:val="single" w:sz="4" w:space="0" w:color="auto"/>
              <w:bottom w:val="single" w:sz="4" w:space="0" w:color="auto"/>
              <w:right w:val="single" w:sz="4" w:space="0" w:color="auto"/>
            </w:tcBorders>
            <w:shd w:val="clear" w:color="000000" w:fill="FFEB9C"/>
            <w:noWrap/>
            <w:vAlign w:val="bottom"/>
            <w:hideMark/>
          </w:tcPr>
          <w:p w14:paraId="48E45ED4" w14:textId="77777777" w:rsidR="00560DE3" w:rsidRPr="00560DE3" w:rsidRDefault="00560DE3" w:rsidP="00560DE3">
            <w:pPr>
              <w:spacing w:line="240" w:lineRule="auto"/>
              <w:ind w:firstLine="0"/>
              <w:jc w:val="center"/>
              <w:rPr>
                <w:rFonts w:ascii="Calibri" w:eastAsia="Times New Roman" w:hAnsi="Calibri" w:cs="Calibri"/>
                <w:color w:val="9C5700"/>
                <w:sz w:val="22"/>
                <w:szCs w:val="22"/>
                <w:lang w:eastAsia="en-US"/>
              </w:rPr>
            </w:pPr>
            <w:r w:rsidRPr="00560DE3">
              <w:rPr>
                <w:rFonts w:ascii="Calibri" w:eastAsia="Times New Roman" w:hAnsi="Calibri" w:cs="Calibri"/>
                <w:color w:val="9C5700"/>
                <w:sz w:val="22"/>
                <w:szCs w:val="22"/>
                <w:lang w:eastAsia="en-US"/>
              </w:rPr>
              <w:t>2</w:t>
            </w:r>
          </w:p>
        </w:tc>
        <w:tc>
          <w:tcPr>
            <w:tcW w:w="1040" w:type="dxa"/>
            <w:tcBorders>
              <w:top w:val="nil"/>
              <w:left w:val="nil"/>
              <w:bottom w:val="single" w:sz="4" w:space="0" w:color="auto"/>
              <w:right w:val="single" w:sz="4" w:space="0" w:color="auto"/>
            </w:tcBorders>
            <w:shd w:val="clear" w:color="auto" w:fill="auto"/>
            <w:noWrap/>
            <w:vAlign w:val="bottom"/>
            <w:hideMark/>
          </w:tcPr>
          <w:p w14:paraId="7C16C54D"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3.59%</w:t>
            </w:r>
          </w:p>
        </w:tc>
        <w:tc>
          <w:tcPr>
            <w:tcW w:w="1120" w:type="dxa"/>
            <w:tcBorders>
              <w:top w:val="nil"/>
              <w:left w:val="nil"/>
              <w:bottom w:val="single" w:sz="4" w:space="0" w:color="auto"/>
              <w:right w:val="single" w:sz="4" w:space="0" w:color="auto"/>
            </w:tcBorders>
            <w:shd w:val="clear" w:color="auto" w:fill="auto"/>
            <w:noWrap/>
            <w:vAlign w:val="bottom"/>
            <w:hideMark/>
          </w:tcPr>
          <w:p w14:paraId="109C1675"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FF0000"/>
                <w:sz w:val="22"/>
                <w:szCs w:val="22"/>
                <w:lang w:eastAsia="en-US"/>
              </w:rPr>
              <w:t>(1.59)</w:t>
            </w:r>
          </w:p>
        </w:tc>
        <w:tc>
          <w:tcPr>
            <w:tcW w:w="1120" w:type="dxa"/>
            <w:tcBorders>
              <w:top w:val="nil"/>
              <w:left w:val="nil"/>
              <w:bottom w:val="single" w:sz="4" w:space="0" w:color="auto"/>
              <w:right w:val="single" w:sz="4" w:space="0" w:color="auto"/>
            </w:tcBorders>
            <w:shd w:val="clear" w:color="auto" w:fill="auto"/>
            <w:noWrap/>
            <w:vAlign w:val="bottom"/>
            <w:hideMark/>
          </w:tcPr>
          <w:p w14:paraId="4F16472B"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103</w:t>
            </w:r>
          </w:p>
        </w:tc>
        <w:tc>
          <w:tcPr>
            <w:tcW w:w="1040" w:type="dxa"/>
            <w:tcBorders>
              <w:top w:val="nil"/>
              <w:left w:val="nil"/>
              <w:bottom w:val="single" w:sz="4" w:space="0" w:color="auto"/>
              <w:right w:val="single" w:sz="4" w:space="0" w:color="auto"/>
            </w:tcBorders>
            <w:shd w:val="clear" w:color="auto" w:fill="auto"/>
            <w:noWrap/>
            <w:vAlign w:val="bottom"/>
            <w:hideMark/>
          </w:tcPr>
          <w:p w14:paraId="24B50D19"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328.6</w:t>
            </w:r>
          </w:p>
        </w:tc>
        <w:tc>
          <w:tcPr>
            <w:tcW w:w="1040" w:type="dxa"/>
            <w:tcBorders>
              <w:top w:val="nil"/>
              <w:left w:val="nil"/>
              <w:bottom w:val="single" w:sz="4" w:space="0" w:color="auto"/>
              <w:right w:val="single" w:sz="4" w:space="0" w:color="auto"/>
            </w:tcBorders>
            <w:shd w:val="clear" w:color="000000" w:fill="FFEB9C"/>
            <w:noWrap/>
            <w:vAlign w:val="bottom"/>
            <w:hideMark/>
          </w:tcPr>
          <w:p w14:paraId="50C42EB4" w14:textId="77777777" w:rsidR="00560DE3" w:rsidRPr="00560DE3" w:rsidRDefault="00560DE3" w:rsidP="00560DE3">
            <w:pPr>
              <w:spacing w:line="240" w:lineRule="auto"/>
              <w:ind w:firstLine="0"/>
              <w:jc w:val="center"/>
              <w:rPr>
                <w:rFonts w:ascii="Calibri" w:eastAsia="Times New Roman" w:hAnsi="Calibri" w:cs="Calibri"/>
                <w:color w:val="9C5700"/>
                <w:sz w:val="22"/>
                <w:szCs w:val="22"/>
                <w:lang w:eastAsia="en-US"/>
              </w:rPr>
            </w:pPr>
            <w:r w:rsidRPr="00560DE3">
              <w:rPr>
                <w:rFonts w:ascii="Calibri" w:eastAsia="Times New Roman" w:hAnsi="Calibri" w:cs="Calibri"/>
                <w:color w:val="9C5700"/>
                <w:sz w:val="22"/>
                <w:szCs w:val="22"/>
                <w:lang w:eastAsia="en-US"/>
              </w:rPr>
              <w:t>0.0000</w:t>
            </w:r>
          </w:p>
        </w:tc>
        <w:tc>
          <w:tcPr>
            <w:tcW w:w="920" w:type="dxa"/>
            <w:tcBorders>
              <w:top w:val="nil"/>
              <w:left w:val="nil"/>
              <w:bottom w:val="single" w:sz="4" w:space="0" w:color="auto"/>
              <w:right w:val="single" w:sz="4" w:space="0" w:color="auto"/>
            </w:tcBorders>
            <w:shd w:val="clear" w:color="auto" w:fill="auto"/>
            <w:noWrap/>
            <w:vAlign w:val="bottom"/>
            <w:hideMark/>
          </w:tcPr>
          <w:p w14:paraId="11409931"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3.15%</w:t>
            </w:r>
          </w:p>
        </w:tc>
        <w:tc>
          <w:tcPr>
            <w:tcW w:w="1040" w:type="dxa"/>
            <w:tcBorders>
              <w:top w:val="nil"/>
              <w:left w:val="nil"/>
              <w:bottom w:val="single" w:sz="4" w:space="0" w:color="auto"/>
              <w:right w:val="single" w:sz="4" w:space="0" w:color="auto"/>
            </w:tcBorders>
            <w:shd w:val="clear" w:color="auto" w:fill="auto"/>
            <w:noWrap/>
            <w:vAlign w:val="bottom"/>
            <w:hideMark/>
          </w:tcPr>
          <w:p w14:paraId="7641B28E"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96.1%</w:t>
            </w:r>
          </w:p>
        </w:tc>
        <w:tc>
          <w:tcPr>
            <w:tcW w:w="1040" w:type="dxa"/>
            <w:tcBorders>
              <w:top w:val="nil"/>
              <w:left w:val="nil"/>
              <w:bottom w:val="single" w:sz="4" w:space="0" w:color="auto"/>
              <w:right w:val="single" w:sz="4" w:space="0" w:color="auto"/>
            </w:tcBorders>
            <w:shd w:val="clear" w:color="auto" w:fill="auto"/>
            <w:noWrap/>
            <w:vAlign w:val="bottom"/>
            <w:hideMark/>
          </w:tcPr>
          <w:p w14:paraId="516BF5E9"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 </w:t>
            </w:r>
          </w:p>
        </w:tc>
      </w:tr>
      <w:tr w:rsidR="00560DE3" w:rsidRPr="00560DE3" w14:paraId="2F6EBAEF" w14:textId="77777777" w:rsidTr="00560DE3">
        <w:trPr>
          <w:trHeight w:val="288"/>
        </w:trPr>
        <w:tc>
          <w:tcPr>
            <w:tcW w:w="1040" w:type="dxa"/>
            <w:tcBorders>
              <w:top w:val="nil"/>
              <w:left w:val="single" w:sz="4" w:space="0" w:color="auto"/>
              <w:bottom w:val="single" w:sz="4" w:space="0" w:color="auto"/>
              <w:right w:val="single" w:sz="4" w:space="0" w:color="auto"/>
            </w:tcBorders>
            <w:shd w:val="clear" w:color="000000" w:fill="FFEB9C"/>
            <w:noWrap/>
            <w:vAlign w:val="bottom"/>
            <w:hideMark/>
          </w:tcPr>
          <w:p w14:paraId="7DF40633" w14:textId="77777777" w:rsidR="00560DE3" w:rsidRPr="00560DE3" w:rsidRDefault="00560DE3" w:rsidP="00560DE3">
            <w:pPr>
              <w:spacing w:line="240" w:lineRule="auto"/>
              <w:ind w:firstLine="0"/>
              <w:jc w:val="center"/>
              <w:rPr>
                <w:rFonts w:ascii="Calibri" w:eastAsia="Times New Roman" w:hAnsi="Calibri" w:cs="Calibri"/>
                <w:color w:val="9C5700"/>
                <w:sz w:val="22"/>
                <w:szCs w:val="22"/>
                <w:lang w:eastAsia="en-US"/>
              </w:rPr>
            </w:pPr>
            <w:r w:rsidRPr="00560DE3">
              <w:rPr>
                <w:rFonts w:ascii="Calibri" w:eastAsia="Times New Roman" w:hAnsi="Calibri" w:cs="Calibri"/>
                <w:color w:val="9C5700"/>
                <w:sz w:val="22"/>
                <w:szCs w:val="22"/>
                <w:lang w:eastAsia="en-US"/>
              </w:rPr>
              <w:t>3</w:t>
            </w:r>
          </w:p>
        </w:tc>
        <w:tc>
          <w:tcPr>
            <w:tcW w:w="1040" w:type="dxa"/>
            <w:tcBorders>
              <w:top w:val="nil"/>
              <w:left w:val="nil"/>
              <w:bottom w:val="single" w:sz="4" w:space="0" w:color="auto"/>
              <w:right w:val="single" w:sz="4" w:space="0" w:color="auto"/>
            </w:tcBorders>
            <w:shd w:val="clear" w:color="auto" w:fill="auto"/>
            <w:noWrap/>
            <w:vAlign w:val="bottom"/>
            <w:hideMark/>
          </w:tcPr>
          <w:p w14:paraId="159ED37B"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4.65%</w:t>
            </w:r>
          </w:p>
        </w:tc>
        <w:tc>
          <w:tcPr>
            <w:tcW w:w="1120" w:type="dxa"/>
            <w:tcBorders>
              <w:top w:val="nil"/>
              <w:left w:val="nil"/>
              <w:bottom w:val="single" w:sz="4" w:space="0" w:color="auto"/>
              <w:right w:val="single" w:sz="4" w:space="0" w:color="auto"/>
            </w:tcBorders>
            <w:shd w:val="clear" w:color="auto" w:fill="auto"/>
            <w:noWrap/>
            <w:vAlign w:val="bottom"/>
            <w:hideMark/>
          </w:tcPr>
          <w:p w14:paraId="0923E064"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FF0000"/>
                <w:sz w:val="22"/>
                <w:szCs w:val="22"/>
                <w:lang w:eastAsia="en-US"/>
              </w:rPr>
              <w:t>(1.65)</w:t>
            </w:r>
          </w:p>
        </w:tc>
        <w:tc>
          <w:tcPr>
            <w:tcW w:w="1120" w:type="dxa"/>
            <w:tcBorders>
              <w:top w:val="nil"/>
              <w:left w:val="nil"/>
              <w:bottom w:val="single" w:sz="4" w:space="0" w:color="auto"/>
              <w:right w:val="single" w:sz="4" w:space="0" w:color="auto"/>
            </w:tcBorders>
            <w:shd w:val="clear" w:color="auto" w:fill="auto"/>
            <w:noWrap/>
            <w:vAlign w:val="bottom"/>
            <w:hideMark/>
          </w:tcPr>
          <w:p w14:paraId="4064137A"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1697</w:t>
            </w:r>
          </w:p>
        </w:tc>
        <w:tc>
          <w:tcPr>
            <w:tcW w:w="1040" w:type="dxa"/>
            <w:tcBorders>
              <w:top w:val="nil"/>
              <w:left w:val="nil"/>
              <w:bottom w:val="single" w:sz="4" w:space="0" w:color="auto"/>
              <w:right w:val="single" w:sz="4" w:space="0" w:color="auto"/>
            </w:tcBorders>
            <w:shd w:val="clear" w:color="auto" w:fill="auto"/>
            <w:noWrap/>
            <w:vAlign w:val="bottom"/>
            <w:hideMark/>
          </w:tcPr>
          <w:p w14:paraId="5A4BFD2B"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4074.6</w:t>
            </w:r>
          </w:p>
        </w:tc>
        <w:tc>
          <w:tcPr>
            <w:tcW w:w="1040" w:type="dxa"/>
            <w:tcBorders>
              <w:top w:val="nil"/>
              <w:left w:val="nil"/>
              <w:bottom w:val="single" w:sz="4" w:space="0" w:color="auto"/>
              <w:right w:val="single" w:sz="4" w:space="0" w:color="auto"/>
            </w:tcBorders>
            <w:shd w:val="clear" w:color="000000" w:fill="FFEB9C"/>
            <w:noWrap/>
            <w:vAlign w:val="bottom"/>
            <w:hideMark/>
          </w:tcPr>
          <w:p w14:paraId="303C5043" w14:textId="77777777" w:rsidR="00560DE3" w:rsidRPr="00560DE3" w:rsidRDefault="00560DE3" w:rsidP="00560DE3">
            <w:pPr>
              <w:spacing w:line="240" w:lineRule="auto"/>
              <w:ind w:firstLine="0"/>
              <w:jc w:val="center"/>
              <w:rPr>
                <w:rFonts w:ascii="Calibri" w:eastAsia="Times New Roman" w:hAnsi="Calibri" w:cs="Calibri"/>
                <w:color w:val="9C5700"/>
                <w:sz w:val="22"/>
                <w:szCs w:val="22"/>
                <w:lang w:eastAsia="en-US"/>
              </w:rPr>
            </w:pPr>
            <w:r w:rsidRPr="00560DE3">
              <w:rPr>
                <w:rFonts w:ascii="Calibri" w:eastAsia="Times New Roman" w:hAnsi="Calibri" w:cs="Calibri"/>
                <w:color w:val="9C5700"/>
                <w:sz w:val="22"/>
                <w:szCs w:val="22"/>
                <w:lang w:eastAsia="en-US"/>
              </w:rPr>
              <w:t>0.0000</w:t>
            </w:r>
          </w:p>
        </w:tc>
        <w:tc>
          <w:tcPr>
            <w:tcW w:w="920" w:type="dxa"/>
            <w:tcBorders>
              <w:top w:val="nil"/>
              <w:left w:val="nil"/>
              <w:bottom w:val="single" w:sz="4" w:space="0" w:color="auto"/>
              <w:right w:val="single" w:sz="4" w:space="0" w:color="auto"/>
            </w:tcBorders>
            <w:shd w:val="clear" w:color="auto" w:fill="auto"/>
            <w:noWrap/>
            <w:vAlign w:val="bottom"/>
            <w:hideMark/>
          </w:tcPr>
          <w:p w14:paraId="14DFD490"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2.91%</w:t>
            </w:r>
          </w:p>
        </w:tc>
        <w:tc>
          <w:tcPr>
            <w:tcW w:w="1040" w:type="dxa"/>
            <w:tcBorders>
              <w:top w:val="nil"/>
              <w:left w:val="nil"/>
              <w:bottom w:val="single" w:sz="4" w:space="0" w:color="auto"/>
              <w:right w:val="single" w:sz="4" w:space="0" w:color="auto"/>
            </w:tcBorders>
            <w:shd w:val="clear" w:color="auto" w:fill="auto"/>
            <w:noWrap/>
            <w:vAlign w:val="bottom"/>
            <w:hideMark/>
          </w:tcPr>
          <w:p w14:paraId="69EA50F5"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95.7%</w:t>
            </w:r>
          </w:p>
        </w:tc>
        <w:tc>
          <w:tcPr>
            <w:tcW w:w="1040" w:type="dxa"/>
            <w:tcBorders>
              <w:top w:val="nil"/>
              <w:left w:val="nil"/>
              <w:bottom w:val="single" w:sz="4" w:space="0" w:color="auto"/>
              <w:right w:val="single" w:sz="4" w:space="0" w:color="auto"/>
            </w:tcBorders>
            <w:shd w:val="clear" w:color="auto" w:fill="auto"/>
            <w:noWrap/>
            <w:vAlign w:val="bottom"/>
            <w:hideMark/>
          </w:tcPr>
          <w:p w14:paraId="5D30AD21"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0.65%</w:t>
            </w:r>
          </w:p>
        </w:tc>
      </w:tr>
      <w:tr w:rsidR="00560DE3" w:rsidRPr="00560DE3" w14:paraId="689A72C1" w14:textId="77777777" w:rsidTr="00560DE3">
        <w:trPr>
          <w:trHeight w:val="288"/>
        </w:trPr>
        <w:tc>
          <w:tcPr>
            <w:tcW w:w="1040" w:type="dxa"/>
            <w:tcBorders>
              <w:top w:val="nil"/>
              <w:left w:val="single" w:sz="4" w:space="0" w:color="auto"/>
              <w:bottom w:val="single" w:sz="4" w:space="0" w:color="auto"/>
              <w:right w:val="single" w:sz="4" w:space="0" w:color="auto"/>
            </w:tcBorders>
            <w:shd w:val="clear" w:color="000000" w:fill="FFEB9C"/>
            <w:noWrap/>
            <w:vAlign w:val="bottom"/>
            <w:hideMark/>
          </w:tcPr>
          <w:p w14:paraId="46062489" w14:textId="77777777" w:rsidR="00560DE3" w:rsidRPr="00560DE3" w:rsidRDefault="00560DE3" w:rsidP="00560DE3">
            <w:pPr>
              <w:spacing w:line="240" w:lineRule="auto"/>
              <w:ind w:firstLine="0"/>
              <w:jc w:val="center"/>
              <w:rPr>
                <w:rFonts w:ascii="Calibri" w:eastAsia="Times New Roman" w:hAnsi="Calibri" w:cs="Calibri"/>
                <w:color w:val="9C5700"/>
                <w:sz w:val="22"/>
                <w:szCs w:val="22"/>
                <w:lang w:eastAsia="en-US"/>
              </w:rPr>
            </w:pPr>
            <w:r w:rsidRPr="00560DE3">
              <w:rPr>
                <w:rFonts w:ascii="Calibri" w:eastAsia="Times New Roman" w:hAnsi="Calibri" w:cs="Calibri"/>
                <w:color w:val="9C5700"/>
                <w:sz w:val="22"/>
                <w:szCs w:val="22"/>
                <w:lang w:eastAsia="en-US"/>
              </w:rPr>
              <w:t>4</w:t>
            </w:r>
          </w:p>
        </w:tc>
        <w:tc>
          <w:tcPr>
            <w:tcW w:w="1040" w:type="dxa"/>
            <w:tcBorders>
              <w:top w:val="nil"/>
              <w:left w:val="nil"/>
              <w:bottom w:val="single" w:sz="4" w:space="0" w:color="auto"/>
              <w:right w:val="single" w:sz="4" w:space="0" w:color="auto"/>
            </w:tcBorders>
            <w:shd w:val="clear" w:color="auto" w:fill="auto"/>
            <w:noWrap/>
            <w:vAlign w:val="bottom"/>
            <w:hideMark/>
          </w:tcPr>
          <w:p w14:paraId="74B48112"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5.94%</w:t>
            </w:r>
          </w:p>
        </w:tc>
        <w:tc>
          <w:tcPr>
            <w:tcW w:w="1120" w:type="dxa"/>
            <w:tcBorders>
              <w:top w:val="nil"/>
              <w:left w:val="nil"/>
              <w:bottom w:val="single" w:sz="4" w:space="0" w:color="auto"/>
              <w:right w:val="single" w:sz="4" w:space="0" w:color="auto"/>
            </w:tcBorders>
            <w:shd w:val="clear" w:color="auto" w:fill="auto"/>
            <w:noWrap/>
            <w:vAlign w:val="bottom"/>
            <w:hideMark/>
          </w:tcPr>
          <w:p w14:paraId="4BC87F8E"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FF0000"/>
                <w:sz w:val="22"/>
                <w:szCs w:val="22"/>
                <w:lang w:eastAsia="en-US"/>
              </w:rPr>
              <w:t>(1.94)</w:t>
            </w:r>
          </w:p>
        </w:tc>
        <w:tc>
          <w:tcPr>
            <w:tcW w:w="1120" w:type="dxa"/>
            <w:tcBorders>
              <w:top w:val="nil"/>
              <w:left w:val="nil"/>
              <w:bottom w:val="single" w:sz="4" w:space="0" w:color="auto"/>
              <w:right w:val="single" w:sz="4" w:space="0" w:color="auto"/>
            </w:tcBorders>
            <w:shd w:val="clear" w:color="auto" w:fill="auto"/>
            <w:noWrap/>
            <w:vAlign w:val="bottom"/>
            <w:hideMark/>
          </w:tcPr>
          <w:p w14:paraId="65D259B4"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2661</w:t>
            </w:r>
          </w:p>
        </w:tc>
        <w:tc>
          <w:tcPr>
            <w:tcW w:w="1040" w:type="dxa"/>
            <w:tcBorders>
              <w:top w:val="nil"/>
              <w:left w:val="nil"/>
              <w:bottom w:val="single" w:sz="4" w:space="0" w:color="auto"/>
              <w:right w:val="single" w:sz="4" w:space="0" w:color="auto"/>
            </w:tcBorders>
            <w:shd w:val="clear" w:color="auto" w:fill="auto"/>
            <w:noWrap/>
            <w:vAlign w:val="bottom"/>
            <w:hideMark/>
          </w:tcPr>
          <w:p w14:paraId="51C8368A"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5865.9</w:t>
            </w:r>
          </w:p>
        </w:tc>
        <w:tc>
          <w:tcPr>
            <w:tcW w:w="1040" w:type="dxa"/>
            <w:tcBorders>
              <w:top w:val="nil"/>
              <w:left w:val="nil"/>
              <w:bottom w:val="single" w:sz="4" w:space="0" w:color="auto"/>
              <w:right w:val="single" w:sz="4" w:space="0" w:color="auto"/>
            </w:tcBorders>
            <w:shd w:val="clear" w:color="000000" w:fill="FFEB9C"/>
            <w:noWrap/>
            <w:vAlign w:val="bottom"/>
            <w:hideMark/>
          </w:tcPr>
          <w:p w14:paraId="08E13868" w14:textId="77777777" w:rsidR="00560DE3" w:rsidRPr="00560DE3" w:rsidRDefault="00560DE3" w:rsidP="00560DE3">
            <w:pPr>
              <w:spacing w:line="240" w:lineRule="auto"/>
              <w:ind w:firstLine="0"/>
              <w:jc w:val="center"/>
              <w:rPr>
                <w:rFonts w:ascii="Calibri" w:eastAsia="Times New Roman" w:hAnsi="Calibri" w:cs="Calibri"/>
                <w:color w:val="9C5700"/>
                <w:sz w:val="22"/>
                <w:szCs w:val="22"/>
                <w:lang w:eastAsia="en-US"/>
              </w:rPr>
            </w:pPr>
            <w:r w:rsidRPr="00560DE3">
              <w:rPr>
                <w:rFonts w:ascii="Calibri" w:eastAsia="Times New Roman" w:hAnsi="Calibri" w:cs="Calibri"/>
                <w:color w:val="9C5700"/>
                <w:sz w:val="22"/>
                <w:szCs w:val="22"/>
                <w:lang w:eastAsia="en-US"/>
              </w:rPr>
              <w:t>0.0000</w:t>
            </w:r>
          </w:p>
        </w:tc>
        <w:tc>
          <w:tcPr>
            <w:tcW w:w="920" w:type="dxa"/>
            <w:tcBorders>
              <w:top w:val="nil"/>
              <w:left w:val="nil"/>
              <w:bottom w:val="single" w:sz="4" w:space="0" w:color="auto"/>
              <w:right w:val="single" w:sz="4" w:space="0" w:color="auto"/>
            </w:tcBorders>
            <w:shd w:val="clear" w:color="auto" w:fill="auto"/>
            <w:noWrap/>
            <w:vAlign w:val="bottom"/>
            <w:hideMark/>
          </w:tcPr>
          <w:p w14:paraId="433DB351"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4.05%</w:t>
            </w:r>
          </w:p>
        </w:tc>
        <w:tc>
          <w:tcPr>
            <w:tcW w:w="1040" w:type="dxa"/>
            <w:tcBorders>
              <w:top w:val="nil"/>
              <w:left w:val="nil"/>
              <w:bottom w:val="single" w:sz="4" w:space="0" w:color="auto"/>
              <w:right w:val="single" w:sz="4" w:space="0" w:color="auto"/>
            </w:tcBorders>
            <w:shd w:val="clear" w:color="auto" w:fill="auto"/>
            <w:noWrap/>
            <w:vAlign w:val="bottom"/>
            <w:hideMark/>
          </w:tcPr>
          <w:p w14:paraId="3114F37B"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93.3%</w:t>
            </w:r>
          </w:p>
        </w:tc>
        <w:tc>
          <w:tcPr>
            <w:tcW w:w="1040" w:type="dxa"/>
            <w:tcBorders>
              <w:top w:val="nil"/>
              <w:left w:val="nil"/>
              <w:bottom w:val="single" w:sz="4" w:space="0" w:color="auto"/>
              <w:right w:val="single" w:sz="4" w:space="0" w:color="auto"/>
            </w:tcBorders>
            <w:shd w:val="clear" w:color="auto" w:fill="auto"/>
            <w:noWrap/>
            <w:vAlign w:val="bottom"/>
            <w:hideMark/>
          </w:tcPr>
          <w:p w14:paraId="0BCD9359"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0.64%</w:t>
            </w:r>
          </w:p>
        </w:tc>
      </w:tr>
      <w:tr w:rsidR="00560DE3" w:rsidRPr="00560DE3" w14:paraId="28BBEAAE" w14:textId="77777777" w:rsidTr="00560DE3">
        <w:trPr>
          <w:trHeight w:val="288"/>
        </w:trPr>
        <w:tc>
          <w:tcPr>
            <w:tcW w:w="1040" w:type="dxa"/>
            <w:tcBorders>
              <w:top w:val="nil"/>
              <w:left w:val="single" w:sz="4" w:space="0" w:color="auto"/>
              <w:bottom w:val="single" w:sz="4" w:space="0" w:color="auto"/>
              <w:right w:val="single" w:sz="4" w:space="0" w:color="auto"/>
            </w:tcBorders>
            <w:shd w:val="clear" w:color="000000" w:fill="FFEB9C"/>
            <w:noWrap/>
            <w:vAlign w:val="bottom"/>
            <w:hideMark/>
          </w:tcPr>
          <w:p w14:paraId="08314383" w14:textId="77777777" w:rsidR="00560DE3" w:rsidRPr="00560DE3" w:rsidRDefault="00560DE3" w:rsidP="00560DE3">
            <w:pPr>
              <w:spacing w:line="240" w:lineRule="auto"/>
              <w:ind w:firstLine="0"/>
              <w:jc w:val="center"/>
              <w:rPr>
                <w:rFonts w:ascii="Calibri" w:eastAsia="Times New Roman" w:hAnsi="Calibri" w:cs="Calibri"/>
                <w:color w:val="9C5700"/>
                <w:sz w:val="22"/>
                <w:szCs w:val="22"/>
                <w:lang w:eastAsia="en-US"/>
              </w:rPr>
            </w:pPr>
            <w:r w:rsidRPr="00560DE3">
              <w:rPr>
                <w:rFonts w:ascii="Calibri" w:eastAsia="Times New Roman" w:hAnsi="Calibri" w:cs="Calibri"/>
                <w:color w:val="9C5700"/>
                <w:sz w:val="22"/>
                <w:szCs w:val="22"/>
                <w:lang w:eastAsia="en-US"/>
              </w:rPr>
              <w:t>5</w:t>
            </w:r>
          </w:p>
        </w:tc>
        <w:tc>
          <w:tcPr>
            <w:tcW w:w="1040" w:type="dxa"/>
            <w:tcBorders>
              <w:top w:val="nil"/>
              <w:left w:val="nil"/>
              <w:bottom w:val="single" w:sz="4" w:space="0" w:color="auto"/>
              <w:right w:val="single" w:sz="4" w:space="0" w:color="auto"/>
            </w:tcBorders>
            <w:shd w:val="clear" w:color="auto" w:fill="auto"/>
            <w:noWrap/>
            <w:vAlign w:val="bottom"/>
            <w:hideMark/>
          </w:tcPr>
          <w:p w14:paraId="64F7B38E"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5.97%</w:t>
            </w:r>
          </w:p>
        </w:tc>
        <w:tc>
          <w:tcPr>
            <w:tcW w:w="1120" w:type="dxa"/>
            <w:tcBorders>
              <w:top w:val="nil"/>
              <w:left w:val="nil"/>
              <w:bottom w:val="single" w:sz="4" w:space="0" w:color="auto"/>
              <w:right w:val="single" w:sz="4" w:space="0" w:color="auto"/>
            </w:tcBorders>
            <w:shd w:val="clear" w:color="auto" w:fill="auto"/>
            <w:noWrap/>
            <w:vAlign w:val="bottom"/>
            <w:hideMark/>
          </w:tcPr>
          <w:p w14:paraId="0DB04CEB"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FF0000"/>
                <w:sz w:val="22"/>
                <w:szCs w:val="22"/>
                <w:lang w:eastAsia="en-US"/>
              </w:rPr>
              <w:t>(0.97)</w:t>
            </w:r>
          </w:p>
        </w:tc>
        <w:tc>
          <w:tcPr>
            <w:tcW w:w="1120" w:type="dxa"/>
            <w:tcBorders>
              <w:top w:val="nil"/>
              <w:left w:val="nil"/>
              <w:bottom w:val="single" w:sz="4" w:space="0" w:color="auto"/>
              <w:right w:val="single" w:sz="4" w:space="0" w:color="auto"/>
            </w:tcBorders>
            <w:shd w:val="clear" w:color="auto" w:fill="auto"/>
            <w:noWrap/>
            <w:vAlign w:val="bottom"/>
            <w:hideMark/>
          </w:tcPr>
          <w:p w14:paraId="3F83904A"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3069</w:t>
            </w:r>
          </w:p>
        </w:tc>
        <w:tc>
          <w:tcPr>
            <w:tcW w:w="1040" w:type="dxa"/>
            <w:tcBorders>
              <w:top w:val="nil"/>
              <w:left w:val="nil"/>
              <w:bottom w:val="single" w:sz="4" w:space="0" w:color="auto"/>
              <w:right w:val="single" w:sz="4" w:space="0" w:color="auto"/>
            </w:tcBorders>
            <w:shd w:val="clear" w:color="auto" w:fill="auto"/>
            <w:noWrap/>
            <w:vAlign w:val="bottom"/>
            <w:hideMark/>
          </w:tcPr>
          <w:p w14:paraId="35433436"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4373.9</w:t>
            </w:r>
          </w:p>
        </w:tc>
        <w:tc>
          <w:tcPr>
            <w:tcW w:w="1040" w:type="dxa"/>
            <w:tcBorders>
              <w:top w:val="nil"/>
              <w:left w:val="nil"/>
              <w:bottom w:val="single" w:sz="4" w:space="0" w:color="auto"/>
              <w:right w:val="single" w:sz="4" w:space="0" w:color="auto"/>
            </w:tcBorders>
            <w:shd w:val="clear" w:color="000000" w:fill="FFEB9C"/>
            <w:noWrap/>
            <w:vAlign w:val="bottom"/>
            <w:hideMark/>
          </w:tcPr>
          <w:p w14:paraId="6E36C079" w14:textId="77777777" w:rsidR="00560DE3" w:rsidRPr="00560DE3" w:rsidRDefault="00560DE3" w:rsidP="00560DE3">
            <w:pPr>
              <w:spacing w:line="240" w:lineRule="auto"/>
              <w:ind w:firstLine="0"/>
              <w:jc w:val="center"/>
              <w:rPr>
                <w:rFonts w:ascii="Calibri" w:eastAsia="Times New Roman" w:hAnsi="Calibri" w:cs="Calibri"/>
                <w:color w:val="9C5700"/>
                <w:sz w:val="22"/>
                <w:szCs w:val="22"/>
                <w:lang w:eastAsia="en-US"/>
              </w:rPr>
            </w:pPr>
            <w:r w:rsidRPr="00560DE3">
              <w:rPr>
                <w:rFonts w:ascii="Calibri" w:eastAsia="Times New Roman" w:hAnsi="Calibri" w:cs="Calibri"/>
                <w:color w:val="9C5700"/>
                <w:sz w:val="22"/>
                <w:szCs w:val="22"/>
                <w:lang w:eastAsia="en-US"/>
              </w:rPr>
              <w:t>0.0000</w:t>
            </w:r>
          </w:p>
        </w:tc>
        <w:tc>
          <w:tcPr>
            <w:tcW w:w="920" w:type="dxa"/>
            <w:tcBorders>
              <w:top w:val="nil"/>
              <w:left w:val="nil"/>
              <w:bottom w:val="single" w:sz="4" w:space="0" w:color="auto"/>
              <w:right w:val="single" w:sz="4" w:space="0" w:color="auto"/>
            </w:tcBorders>
            <w:shd w:val="clear" w:color="auto" w:fill="auto"/>
            <w:noWrap/>
            <w:vAlign w:val="bottom"/>
            <w:hideMark/>
          </w:tcPr>
          <w:p w14:paraId="4582DF63"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4.14%</w:t>
            </w:r>
          </w:p>
        </w:tc>
        <w:tc>
          <w:tcPr>
            <w:tcW w:w="1040" w:type="dxa"/>
            <w:tcBorders>
              <w:top w:val="nil"/>
              <w:left w:val="nil"/>
              <w:bottom w:val="single" w:sz="4" w:space="0" w:color="auto"/>
              <w:right w:val="single" w:sz="4" w:space="0" w:color="auto"/>
            </w:tcBorders>
            <w:shd w:val="clear" w:color="auto" w:fill="auto"/>
            <w:noWrap/>
            <w:vAlign w:val="bottom"/>
            <w:hideMark/>
          </w:tcPr>
          <w:p w14:paraId="48C0B580"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93.8%</w:t>
            </w:r>
          </w:p>
        </w:tc>
        <w:tc>
          <w:tcPr>
            <w:tcW w:w="1040" w:type="dxa"/>
            <w:tcBorders>
              <w:top w:val="nil"/>
              <w:left w:val="nil"/>
              <w:bottom w:val="single" w:sz="4" w:space="0" w:color="auto"/>
              <w:right w:val="single" w:sz="4" w:space="0" w:color="auto"/>
            </w:tcBorders>
            <w:shd w:val="clear" w:color="auto" w:fill="auto"/>
            <w:noWrap/>
            <w:vAlign w:val="bottom"/>
            <w:hideMark/>
          </w:tcPr>
          <w:p w14:paraId="23FFD5DB"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0.59%</w:t>
            </w:r>
          </w:p>
        </w:tc>
      </w:tr>
      <w:tr w:rsidR="00560DE3" w:rsidRPr="00560DE3" w14:paraId="6FD6BDE8" w14:textId="77777777" w:rsidTr="00560DE3">
        <w:trPr>
          <w:trHeight w:val="288"/>
        </w:trPr>
        <w:tc>
          <w:tcPr>
            <w:tcW w:w="1040" w:type="dxa"/>
            <w:tcBorders>
              <w:top w:val="nil"/>
              <w:left w:val="single" w:sz="4" w:space="0" w:color="auto"/>
              <w:bottom w:val="single" w:sz="4" w:space="0" w:color="auto"/>
              <w:right w:val="single" w:sz="4" w:space="0" w:color="auto"/>
            </w:tcBorders>
            <w:shd w:val="clear" w:color="000000" w:fill="FFEB9C"/>
            <w:noWrap/>
            <w:vAlign w:val="bottom"/>
            <w:hideMark/>
          </w:tcPr>
          <w:p w14:paraId="4C26F0EC" w14:textId="77777777" w:rsidR="00560DE3" w:rsidRPr="00560DE3" w:rsidRDefault="00560DE3" w:rsidP="00560DE3">
            <w:pPr>
              <w:spacing w:line="240" w:lineRule="auto"/>
              <w:ind w:firstLine="0"/>
              <w:jc w:val="center"/>
              <w:rPr>
                <w:rFonts w:ascii="Calibri" w:eastAsia="Times New Roman" w:hAnsi="Calibri" w:cs="Calibri"/>
                <w:color w:val="9C5700"/>
                <w:sz w:val="22"/>
                <w:szCs w:val="22"/>
                <w:lang w:eastAsia="en-US"/>
              </w:rPr>
            </w:pPr>
            <w:r w:rsidRPr="00560DE3">
              <w:rPr>
                <w:rFonts w:ascii="Calibri" w:eastAsia="Times New Roman" w:hAnsi="Calibri" w:cs="Calibri"/>
                <w:color w:val="9C5700"/>
                <w:sz w:val="22"/>
                <w:szCs w:val="22"/>
                <w:lang w:eastAsia="en-US"/>
              </w:rPr>
              <w:t>6</w:t>
            </w:r>
          </w:p>
        </w:tc>
        <w:tc>
          <w:tcPr>
            <w:tcW w:w="1040" w:type="dxa"/>
            <w:tcBorders>
              <w:top w:val="nil"/>
              <w:left w:val="nil"/>
              <w:bottom w:val="single" w:sz="4" w:space="0" w:color="auto"/>
              <w:right w:val="single" w:sz="4" w:space="0" w:color="auto"/>
            </w:tcBorders>
            <w:shd w:val="clear" w:color="auto" w:fill="auto"/>
            <w:noWrap/>
            <w:vAlign w:val="bottom"/>
            <w:hideMark/>
          </w:tcPr>
          <w:p w14:paraId="0CF5742A"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7.94%</w:t>
            </w:r>
          </w:p>
        </w:tc>
        <w:tc>
          <w:tcPr>
            <w:tcW w:w="1120" w:type="dxa"/>
            <w:tcBorders>
              <w:top w:val="nil"/>
              <w:left w:val="nil"/>
              <w:bottom w:val="single" w:sz="4" w:space="0" w:color="auto"/>
              <w:right w:val="single" w:sz="4" w:space="0" w:color="auto"/>
            </w:tcBorders>
            <w:shd w:val="clear" w:color="auto" w:fill="auto"/>
            <w:noWrap/>
            <w:vAlign w:val="bottom"/>
            <w:hideMark/>
          </w:tcPr>
          <w:p w14:paraId="3F762E59"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FF0000"/>
                <w:sz w:val="22"/>
                <w:szCs w:val="22"/>
                <w:lang w:eastAsia="en-US"/>
              </w:rPr>
              <w:t>(1.94)</w:t>
            </w:r>
          </w:p>
        </w:tc>
        <w:tc>
          <w:tcPr>
            <w:tcW w:w="1120" w:type="dxa"/>
            <w:tcBorders>
              <w:top w:val="nil"/>
              <w:left w:val="nil"/>
              <w:bottom w:val="single" w:sz="4" w:space="0" w:color="auto"/>
              <w:right w:val="single" w:sz="4" w:space="0" w:color="auto"/>
            </w:tcBorders>
            <w:shd w:val="clear" w:color="auto" w:fill="auto"/>
            <w:noWrap/>
            <w:vAlign w:val="bottom"/>
            <w:hideMark/>
          </w:tcPr>
          <w:p w14:paraId="33DCE3ED"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911</w:t>
            </w:r>
          </w:p>
        </w:tc>
        <w:tc>
          <w:tcPr>
            <w:tcW w:w="1040" w:type="dxa"/>
            <w:tcBorders>
              <w:top w:val="nil"/>
              <w:left w:val="nil"/>
              <w:bottom w:val="single" w:sz="4" w:space="0" w:color="auto"/>
              <w:right w:val="single" w:sz="4" w:space="0" w:color="auto"/>
            </w:tcBorders>
            <w:shd w:val="clear" w:color="auto" w:fill="auto"/>
            <w:noWrap/>
            <w:vAlign w:val="bottom"/>
            <w:hideMark/>
          </w:tcPr>
          <w:p w14:paraId="3C20BB89"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1593.6</w:t>
            </w:r>
          </w:p>
        </w:tc>
        <w:tc>
          <w:tcPr>
            <w:tcW w:w="1040" w:type="dxa"/>
            <w:tcBorders>
              <w:top w:val="nil"/>
              <w:left w:val="nil"/>
              <w:bottom w:val="single" w:sz="4" w:space="0" w:color="auto"/>
              <w:right w:val="single" w:sz="4" w:space="0" w:color="auto"/>
            </w:tcBorders>
            <w:shd w:val="clear" w:color="000000" w:fill="FFEB9C"/>
            <w:noWrap/>
            <w:vAlign w:val="bottom"/>
            <w:hideMark/>
          </w:tcPr>
          <w:p w14:paraId="4EC758B3" w14:textId="77777777" w:rsidR="00560DE3" w:rsidRPr="00560DE3" w:rsidRDefault="00560DE3" w:rsidP="00560DE3">
            <w:pPr>
              <w:spacing w:line="240" w:lineRule="auto"/>
              <w:ind w:firstLine="0"/>
              <w:jc w:val="center"/>
              <w:rPr>
                <w:rFonts w:ascii="Calibri" w:eastAsia="Times New Roman" w:hAnsi="Calibri" w:cs="Calibri"/>
                <w:color w:val="9C5700"/>
                <w:sz w:val="22"/>
                <w:szCs w:val="22"/>
                <w:lang w:eastAsia="en-US"/>
              </w:rPr>
            </w:pPr>
            <w:r w:rsidRPr="00560DE3">
              <w:rPr>
                <w:rFonts w:ascii="Calibri" w:eastAsia="Times New Roman" w:hAnsi="Calibri" w:cs="Calibri"/>
                <w:color w:val="9C5700"/>
                <w:sz w:val="22"/>
                <w:szCs w:val="22"/>
                <w:lang w:eastAsia="en-US"/>
              </w:rPr>
              <w:t>0.0000</w:t>
            </w:r>
          </w:p>
        </w:tc>
        <w:tc>
          <w:tcPr>
            <w:tcW w:w="920" w:type="dxa"/>
            <w:tcBorders>
              <w:top w:val="nil"/>
              <w:left w:val="nil"/>
              <w:bottom w:val="single" w:sz="4" w:space="0" w:color="auto"/>
              <w:right w:val="single" w:sz="4" w:space="0" w:color="auto"/>
            </w:tcBorders>
            <w:shd w:val="clear" w:color="auto" w:fill="auto"/>
            <w:noWrap/>
            <w:vAlign w:val="bottom"/>
            <w:hideMark/>
          </w:tcPr>
          <w:p w14:paraId="50A2B460"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5.59%</w:t>
            </w:r>
          </w:p>
        </w:tc>
        <w:tc>
          <w:tcPr>
            <w:tcW w:w="1040" w:type="dxa"/>
            <w:tcBorders>
              <w:top w:val="nil"/>
              <w:left w:val="nil"/>
              <w:bottom w:val="single" w:sz="4" w:space="0" w:color="auto"/>
              <w:right w:val="single" w:sz="4" w:space="0" w:color="auto"/>
            </w:tcBorders>
            <w:shd w:val="clear" w:color="auto" w:fill="auto"/>
            <w:noWrap/>
            <w:vAlign w:val="bottom"/>
            <w:hideMark/>
          </w:tcPr>
          <w:p w14:paraId="0CEEAF8E"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84.9%</w:t>
            </w:r>
          </w:p>
        </w:tc>
        <w:tc>
          <w:tcPr>
            <w:tcW w:w="1040" w:type="dxa"/>
            <w:tcBorders>
              <w:top w:val="nil"/>
              <w:left w:val="nil"/>
              <w:bottom w:val="single" w:sz="4" w:space="0" w:color="auto"/>
              <w:right w:val="single" w:sz="4" w:space="0" w:color="auto"/>
            </w:tcBorders>
            <w:shd w:val="clear" w:color="auto" w:fill="auto"/>
            <w:noWrap/>
            <w:vAlign w:val="bottom"/>
            <w:hideMark/>
          </w:tcPr>
          <w:p w14:paraId="3BD1848C"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0.55%</w:t>
            </w:r>
          </w:p>
        </w:tc>
      </w:tr>
      <w:tr w:rsidR="00560DE3" w:rsidRPr="00560DE3" w14:paraId="5586C046" w14:textId="77777777" w:rsidTr="00560DE3">
        <w:trPr>
          <w:trHeight w:val="288"/>
        </w:trPr>
        <w:tc>
          <w:tcPr>
            <w:tcW w:w="1040" w:type="dxa"/>
            <w:tcBorders>
              <w:top w:val="nil"/>
              <w:left w:val="single" w:sz="4" w:space="0" w:color="auto"/>
              <w:bottom w:val="single" w:sz="4" w:space="0" w:color="auto"/>
              <w:right w:val="single" w:sz="4" w:space="0" w:color="auto"/>
            </w:tcBorders>
            <w:shd w:val="clear" w:color="000000" w:fill="FFEB9C"/>
            <w:noWrap/>
            <w:vAlign w:val="bottom"/>
            <w:hideMark/>
          </w:tcPr>
          <w:p w14:paraId="1C405F53" w14:textId="77777777" w:rsidR="00560DE3" w:rsidRPr="00560DE3" w:rsidRDefault="00560DE3" w:rsidP="00560DE3">
            <w:pPr>
              <w:spacing w:line="240" w:lineRule="auto"/>
              <w:ind w:firstLine="0"/>
              <w:jc w:val="center"/>
              <w:rPr>
                <w:rFonts w:ascii="Calibri" w:eastAsia="Times New Roman" w:hAnsi="Calibri" w:cs="Calibri"/>
                <w:color w:val="9C5700"/>
                <w:sz w:val="22"/>
                <w:szCs w:val="22"/>
                <w:lang w:eastAsia="en-US"/>
              </w:rPr>
            </w:pPr>
            <w:r w:rsidRPr="00560DE3">
              <w:rPr>
                <w:rFonts w:ascii="Calibri" w:eastAsia="Times New Roman" w:hAnsi="Calibri" w:cs="Calibri"/>
                <w:color w:val="9C5700"/>
                <w:sz w:val="22"/>
                <w:szCs w:val="22"/>
                <w:lang w:eastAsia="en-US"/>
              </w:rPr>
              <w:t>7</w:t>
            </w:r>
          </w:p>
        </w:tc>
        <w:tc>
          <w:tcPr>
            <w:tcW w:w="1040" w:type="dxa"/>
            <w:tcBorders>
              <w:top w:val="nil"/>
              <w:left w:val="nil"/>
              <w:bottom w:val="single" w:sz="4" w:space="0" w:color="auto"/>
              <w:right w:val="single" w:sz="4" w:space="0" w:color="auto"/>
            </w:tcBorders>
            <w:shd w:val="clear" w:color="auto" w:fill="auto"/>
            <w:noWrap/>
            <w:vAlign w:val="bottom"/>
            <w:hideMark/>
          </w:tcPr>
          <w:p w14:paraId="6C95B84F"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7.93%</w:t>
            </w:r>
          </w:p>
        </w:tc>
        <w:tc>
          <w:tcPr>
            <w:tcW w:w="1120" w:type="dxa"/>
            <w:tcBorders>
              <w:top w:val="nil"/>
              <w:left w:val="nil"/>
              <w:bottom w:val="single" w:sz="4" w:space="0" w:color="auto"/>
              <w:right w:val="single" w:sz="4" w:space="0" w:color="auto"/>
            </w:tcBorders>
            <w:shd w:val="clear" w:color="auto" w:fill="auto"/>
            <w:noWrap/>
            <w:vAlign w:val="bottom"/>
            <w:hideMark/>
          </w:tcPr>
          <w:p w14:paraId="46CCA1A4"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FF0000"/>
                <w:sz w:val="22"/>
                <w:szCs w:val="22"/>
                <w:lang w:eastAsia="en-US"/>
              </w:rPr>
              <w:t>(0.93)</w:t>
            </w:r>
          </w:p>
        </w:tc>
        <w:tc>
          <w:tcPr>
            <w:tcW w:w="1120" w:type="dxa"/>
            <w:tcBorders>
              <w:top w:val="nil"/>
              <w:left w:val="nil"/>
              <w:bottom w:val="single" w:sz="4" w:space="0" w:color="auto"/>
              <w:right w:val="single" w:sz="4" w:space="0" w:color="auto"/>
            </w:tcBorders>
            <w:shd w:val="clear" w:color="auto" w:fill="auto"/>
            <w:noWrap/>
            <w:vAlign w:val="bottom"/>
            <w:hideMark/>
          </w:tcPr>
          <w:p w14:paraId="3361DCA2"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1860</w:t>
            </w:r>
          </w:p>
        </w:tc>
        <w:tc>
          <w:tcPr>
            <w:tcW w:w="1040" w:type="dxa"/>
            <w:tcBorders>
              <w:top w:val="nil"/>
              <w:left w:val="nil"/>
              <w:bottom w:val="single" w:sz="4" w:space="0" w:color="auto"/>
              <w:right w:val="single" w:sz="4" w:space="0" w:color="auto"/>
            </w:tcBorders>
            <w:shd w:val="clear" w:color="auto" w:fill="auto"/>
            <w:noWrap/>
            <w:vAlign w:val="bottom"/>
            <w:hideMark/>
          </w:tcPr>
          <w:p w14:paraId="4C59F457"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2385.8</w:t>
            </w:r>
          </w:p>
        </w:tc>
        <w:tc>
          <w:tcPr>
            <w:tcW w:w="1040" w:type="dxa"/>
            <w:tcBorders>
              <w:top w:val="nil"/>
              <w:left w:val="nil"/>
              <w:bottom w:val="single" w:sz="4" w:space="0" w:color="auto"/>
              <w:right w:val="single" w:sz="4" w:space="0" w:color="auto"/>
            </w:tcBorders>
            <w:shd w:val="clear" w:color="000000" w:fill="FFEB9C"/>
            <w:noWrap/>
            <w:vAlign w:val="bottom"/>
            <w:hideMark/>
          </w:tcPr>
          <w:p w14:paraId="31FF7E01" w14:textId="77777777" w:rsidR="00560DE3" w:rsidRPr="00560DE3" w:rsidRDefault="00560DE3" w:rsidP="00560DE3">
            <w:pPr>
              <w:spacing w:line="240" w:lineRule="auto"/>
              <w:ind w:firstLine="0"/>
              <w:jc w:val="center"/>
              <w:rPr>
                <w:rFonts w:ascii="Calibri" w:eastAsia="Times New Roman" w:hAnsi="Calibri" w:cs="Calibri"/>
                <w:color w:val="9C5700"/>
                <w:sz w:val="22"/>
                <w:szCs w:val="22"/>
                <w:lang w:eastAsia="en-US"/>
              </w:rPr>
            </w:pPr>
            <w:r w:rsidRPr="00560DE3">
              <w:rPr>
                <w:rFonts w:ascii="Calibri" w:eastAsia="Times New Roman" w:hAnsi="Calibri" w:cs="Calibri"/>
                <w:color w:val="9C5700"/>
                <w:sz w:val="22"/>
                <w:szCs w:val="22"/>
                <w:lang w:eastAsia="en-US"/>
              </w:rPr>
              <w:t>0.0000</w:t>
            </w:r>
          </w:p>
        </w:tc>
        <w:tc>
          <w:tcPr>
            <w:tcW w:w="920" w:type="dxa"/>
            <w:tcBorders>
              <w:top w:val="nil"/>
              <w:left w:val="nil"/>
              <w:bottom w:val="single" w:sz="4" w:space="0" w:color="auto"/>
              <w:right w:val="single" w:sz="4" w:space="0" w:color="auto"/>
            </w:tcBorders>
            <w:shd w:val="clear" w:color="auto" w:fill="auto"/>
            <w:noWrap/>
            <w:vAlign w:val="bottom"/>
            <w:hideMark/>
          </w:tcPr>
          <w:p w14:paraId="3191C262"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5.11%</w:t>
            </w:r>
          </w:p>
        </w:tc>
        <w:tc>
          <w:tcPr>
            <w:tcW w:w="1040" w:type="dxa"/>
            <w:tcBorders>
              <w:top w:val="nil"/>
              <w:left w:val="nil"/>
              <w:bottom w:val="single" w:sz="4" w:space="0" w:color="auto"/>
              <w:right w:val="single" w:sz="4" w:space="0" w:color="auto"/>
            </w:tcBorders>
            <w:shd w:val="clear" w:color="auto" w:fill="auto"/>
            <w:noWrap/>
            <w:vAlign w:val="bottom"/>
            <w:hideMark/>
          </w:tcPr>
          <w:p w14:paraId="3FDAF129"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87.0%</w:t>
            </w:r>
          </w:p>
        </w:tc>
        <w:tc>
          <w:tcPr>
            <w:tcW w:w="1040" w:type="dxa"/>
            <w:tcBorders>
              <w:top w:val="nil"/>
              <w:left w:val="nil"/>
              <w:bottom w:val="single" w:sz="4" w:space="0" w:color="auto"/>
              <w:right w:val="single" w:sz="4" w:space="0" w:color="auto"/>
            </w:tcBorders>
            <w:shd w:val="clear" w:color="auto" w:fill="auto"/>
            <w:noWrap/>
            <w:vAlign w:val="bottom"/>
            <w:hideMark/>
          </w:tcPr>
          <w:p w14:paraId="4D627747"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1.18%</w:t>
            </w:r>
          </w:p>
        </w:tc>
      </w:tr>
      <w:tr w:rsidR="00560DE3" w:rsidRPr="00560DE3" w14:paraId="6218921C" w14:textId="77777777" w:rsidTr="009C7F6D">
        <w:trPr>
          <w:trHeight w:val="288"/>
        </w:trPr>
        <w:tc>
          <w:tcPr>
            <w:tcW w:w="1040" w:type="dxa"/>
            <w:tcBorders>
              <w:top w:val="nil"/>
              <w:left w:val="single" w:sz="4" w:space="0" w:color="auto"/>
              <w:bottom w:val="single" w:sz="4" w:space="0" w:color="auto"/>
              <w:right w:val="single" w:sz="4" w:space="0" w:color="auto"/>
            </w:tcBorders>
            <w:shd w:val="clear" w:color="auto" w:fill="92D050"/>
            <w:noWrap/>
            <w:vAlign w:val="bottom"/>
            <w:hideMark/>
          </w:tcPr>
          <w:p w14:paraId="2D8B2355" w14:textId="77777777" w:rsidR="00560DE3" w:rsidRPr="00560DE3" w:rsidRDefault="00560DE3" w:rsidP="00560DE3">
            <w:pPr>
              <w:spacing w:line="240" w:lineRule="auto"/>
              <w:ind w:firstLine="0"/>
              <w:jc w:val="center"/>
              <w:rPr>
                <w:rFonts w:ascii="Calibri" w:eastAsia="Times New Roman" w:hAnsi="Calibri" w:cs="Calibri"/>
                <w:color w:val="006100"/>
                <w:sz w:val="22"/>
                <w:szCs w:val="22"/>
                <w:lang w:eastAsia="en-US"/>
              </w:rPr>
            </w:pPr>
            <w:r w:rsidRPr="00560DE3">
              <w:rPr>
                <w:rFonts w:ascii="Calibri" w:eastAsia="Times New Roman" w:hAnsi="Calibri" w:cs="Calibri"/>
                <w:color w:val="006100"/>
                <w:sz w:val="22"/>
                <w:szCs w:val="22"/>
                <w:lang w:eastAsia="en-US"/>
              </w:rPr>
              <w:t>8</w:t>
            </w:r>
          </w:p>
        </w:tc>
        <w:tc>
          <w:tcPr>
            <w:tcW w:w="1040" w:type="dxa"/>
            <w:tcBorders>
              <w:top w:val="nil"/>
              <w:left w:val="nil"/>
              <w:bottom w:val="single" w:sz="4" w:space="0" w:color="auto"/>
              <w:right w:val="single" w:sz="4" w:space="0" w:color="auto"/>
            </w:tcBorders>
            <w:shd w:val="clear" w:color="auto" w:fill="auto"/>
            <w:noWrap/>
            <w:vAlign w:val="bottom"/>
            <w:hideMark/>
          </w:tcPr>
          <w:p w14:paraId="4DD74EEB"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7.72%</w:t>
            </w:r>
          </w:p>
        </w:tc>
        <w:tc>
          <w:tcPr>
            <w:tcW w:w="1120" w:type="dxa"/>
            <w:tcBorders>
              <w:top w:val="nil"/>
              <w:left w:val="nil"/>
              <w:bottom w:val="single" w:sz="4" w:space="0" w:color="auto"/>
              <w:right w:val="single" w:sz="4" w:space="0" w:color="auto"/>
            </w:tcBorders>
            <w:shd w:val="clear" w:color="auto" w:fill="auto"/>
            <w:noWrap/>
            <w:vAlign w:val="bottom"/>
            <w:hideMark/>
          </w:tcPr>
          <w:p w14:paraId="57FB5B72"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 xml:space="preserve">0.28 </w:t>
            </w:r>
          </w:p>
        </w:tc>
        <w:tc>
          <w:tcPr>
            <w:tcW w:w="1120" w:type="dxa"/>
            <w:tcBorders>
              <w:top w:val="nil"/>
              <w:left w:val="nil"/>
              <w:bottom w:val="single" w:sz="4" w:space="0" w:color="auto"/>
              <w:right w:val="single" w:sz="4" w:space="0" w:color="auto"/>
            </w:tcBorders>
            <w:shd w:val="clear" w:color="auto" w:fill="auto"/>
            <w:noWrap/>
            <w:vAlign w:val="bottom"/>
            <w:hideMark/>
          </w:tcPr>
          <w:p w14:paraId="60F00897"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1636</w:t>
            </w:r>
          </w:p>
        </w:tc>
        <w:tc>
          <w:tcPr>
            <w:tcW w:w="1040" w:type="dxa"/>
            <w:tcBorders>
              <w:top w:val="nil"/>
              <w:left w:val="nil"/>
              <w:bottom w:val="single" w:sz="4" w:space="0" w:color="auto"/>
              <w:right w:val="single" w:sz="4" w:space="0" w:color="auto"/>
            </w:tcBorders>
            <w:shd w:val="clear" w:color="auto" w:fill="auto"/>
            <w:noWrap/>
            <w:vAlign w:val="bottom"/>
            <w:hideMark/>
          </w:tcPr>
          <w:p w14:paraId="7386836F"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1522.6</w:t>
            </w:r>
          </w:p>
        </w:tc>
        <w:tc>
          <w:tcPr>
            <w:tcW w:w="1040" w:type="dxa"/>
            <w:tcBorders>
              <w:top w:val="nil"/>
              <w:left w:val="nil"/>
              <w:bottom w:val="single" w:sz="4" w:space="0" w:color="auto"/>
              <w:right w:val="single" w:sz="4" w:space="0" w:color="auto"/>
            </w:tcBorders>
            <w:shd w:val="clear" w:color="auto" w:fill="92D050"/>
            <w:noWrap/>
            <w:vAlign w:val="bottom"/>
            <w:hideMark/>
          </w:tcPr>
          <w:p w14:paraId="0A6D3FD3" w14:textId="77777777" w:rsidR="00560DE3" w:rsidRPr="00560DE3" w:rsidRDefault="00560DE3" w:rsidP="00560DE3">
            <w:pPr>
              <w:spacing w:line="240" w:lineRule="auto"/>
              <w:ind w:firstLine="0"/>
              <w:jc w:val="center"/>
              <w:rPr>
                <w:rFonts w:ascii="Calibri" w:eastAsia="Times New Roman" w:hAnsi="Calibri" w:cs="Calibri"/>
                <w:color w:val="006100"/>
                <w:sz w:val="22"/>
                <w:szCs w:val="22"/>
                <w:lang w:eastAsia="en-US"/>
              </w:rPr>
            </w:pPr>
            <w:r w:rsidRPr="00560DE3">
              <w:rPr>
                <w:rFonts w:ascii="Calibri" w:eastAsia="Times New Roman" w:hAnsi="Calibri" w:cs="Calibri"/>
                <w:color w:val="006100"/>
                <w:sz w:val="22"/>
                <w:szCs w:val="22"/>
                <w:lang w:eastAsia="en-US"/>
              </w:rPr>
              <w:t>0.0434</w:t>
            </w:r>
          </w:p>
        </w:tc>
        <w:tc>
          <w:tcPr>
            <w:tcW w:w="920" w:type="dxa"/>
            <w:tcBorders>
              <w:top w:val="nil"/>
              <w:left w:val="nil"/>
              <w:bottom w:val="single" w:sz="4" w:space="0" w:color="auto"/>
              <w:right w:val="single" w:sz="4" w:space="0" w:color="auto"/>
            </w:tcBorders>
            <w:shd w:val="clear" w:color="auto" w:fill="auto"/>
            <w:noWrap/>
            <w:vAlign w:val="bottom"/>
            <w:hideMark/>
          </w:tcPr>
          <w:p w14:paraId="1C3636EE"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4.72%</w:t>
            </w:r>
          </w:p>
        </w:tc>
        <w:tc>
          <w:tcPr>
            <w:tcW w:w="1040" w:type="dxa"/>
            <w:tcBorders>
              <w:top w:val="nil"/>
              <w:left w:val="nil"/>
              <w:bottom w:val="single" w:sz="4" w:space="0" w:color="auto"/>
              <w:right w:val="single" w:sz="4" w:space="0" w:color="auto"/>
            </w:tcBorders>
            <w:shd w:val="clear" w:color="auto" w:fill="auto"/>
            <w:noWrap/>
            <w:vAlign w:val="bottom"/>
            <w:hideMark/>
          </w:tcPr>
          <w:p w14:paraId="66E6018E"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88.3%</w:t>
            </w:r>
          </w:p>
        </w:tc>
        <w:tc>
          <w:tcPr>
            <w:tcW w:w="1040" w:type="dxa"/>
            <w:tcBorders>
              <w:top w:val="nil"/>
              <w:left w:val="nil"/>
              <w:bottom w:val="single" w:sz="4" w:space="0" w:color="auto"/>
              <w:right w:val="single" w:sz="4" w:space="0" w:color="auto"/>
            </w:tcBorders>
            <w:shd w:val="clear" w:color="auto" w:fill="auto"/>
            <w:noWrap/>
            <w:vAlign w:val="bottom"/>
            <w:hideMark/>
          </w:tcPr>
          <w:p w14:paraId="20D68E2A"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1.04%</w:t>
            </w:r>
          </w:p>
        </w:tc>
      </w:tr>
      <w:tr w:rsidR="00560DE3" w:rsidRPr="00560DE3" w14:paraId="33C7FEA0" w14:textId="77777777" w:rsidTr="009C7F6D">
        <w:trPr>
          <w:trHeight w:val="288"/>
        </w:trPr>
        <w:tc>
          <w:tcPr>
            <w:tcW w:w="1040" w:type="dxa"/>
            <w:tcBorders>
              <w:top w:val="nil"/>
              <w:left w:val="single" w:sz="4" w:space="0" w:color="auto"/>
              <w:bottom w:val="single" w:sz="4" w:space="0" w:color="auto"/>
              <w:right w:val="single" w:sz="4" w:space="0" w:color="auto"/>
            </w:tcBorders>
            <w:shd w:val="clear" w:color="auto" w:fill="92D050"/>
            <w:noWrap/>
            <w:vAlign w:val="bottom"/>
            <w:hideMark/>
          </w:tcPr>
          <w:p w14:paraId="63AA267E" w14:textId="77777777" w:rsidR="00560DE3" w:rsidRPr="00560DE3" w:rsidRDefault="00560DE3" w:rsidP="00560DE3">
            <w:pPr>
              <w:spacing w:line="240" w:lineRule="auto"/>
              <w:ind w:firstLine="0"/>
              <w:jc w:val="center"/>
              <w:rPr>
                <w:rFonts w:ascii="Calibri" w:eastAsia="Times New Roman" w:hAnsi="Calibri" w:cs="Calibri"/>
                <w:color w:val="006100"/>
                <w:sz w:val="22"/>
                <w:szCs w:val="22"/>
                <w:lang w:eastAsia="en-US"/>
              </w:rPr>
            </w:pPr>
            <w:r w:rsidRPr="00560DE3">
              <w:rPr>
                <w:rFonts w:ascii="Calibri" w:eastAsia="Times New Roman" w:hAnsi="Calibri" w:cs="Calibri"/>
                <w:color w:val="006100"/>
                <w:sz w:val="22"/>
                <w:szCs w:val="22"/>
                <w:lang w:eastAsia="en-US"/>
              </w:rPr>
              <w:t>9</w:t>
            </w:r>
          </w:p>
        </w:tc>
        <w:tc>
          <w:tcPr>
            <w:tcW w:w="1040" w:type="dxa"/>
            <w:tcBorders>
              <w:top w:val="nil"/>
              <w:left w:val="nil"/>
              <w:bottom w:val="single" w:sz="4" w:space="0" w:color="auto"/>
              <w:right w:val="single" w:sz="4" w:space="0" w:color="auto"/>
            </w:tcBorders>
            <w:shd w:val="clear" w:color="auto" w:fill="auto"/>
            <w:noWrap/>
            <w:vAlign w:val="bottom"/>
            <w:hideMark/>
          </w:tcPr>
          <w:p w14:paraId="1193A650"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8.58%</w:t>
            </w:r>
          </w:p>
        </w:tc>
        <w:tc>
          <w:tcPr>
            <w:tcW w:w="1120" w:type="dxa"/>
            <w:tcBorders>
              <w:top w:val="nil"/>
              <w:left w:val="nil"/>
              <w:bottom w:val="single" w:sz="4" w:space="0" w:color="auto"/>
              <w:right w:val="single" w:sz="4" w:space="0" w:color="auto"/>
            </w:tcBorders>
            <w:shd w:val="clear" w:color="auto" w:fill="auto"/>
            <w:noWrap/>
            <w:vAlign w:val="bottom"/>
            <w:hideMark/>
          </w:tcPr>
          <w:p w14:paraId="68600C2C"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 xml:space="preserve">0.42 </w:t>
            </w:r>
          </w:p>
        </w:tc>
        <w:tc>
          <w:tcPr>
            <w:tcW w:w="1120" w:type="dxa"/>
            <w:tcBorders>
              <w:top w:val="nil"/>
              <w:left w:val="nil"/>
              <w:bottom w:val="single" w:sz="4" w:space="0" w:color="auto"/>
              <w:right w:val="single" w:sz="4" w:space="0" w:color="auto"/>
            </w:tcBorders>
            <w:shd w:val="clear" w:color="auto" w:fill="auto"/>
            <w:noWrap/>
            <w:vAlign w:val="bottom"/>
            <w:hideMark/>
          </w:tcPr>
          <w:p w14:paraId="47BFEE44"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660</w:t>
            </w:r>
          </w:p>
        </w:tc>
        <w:tc>
          <w:tcPr>
            <w:tcW w:w="1040" w:type="dxa"/>
            <w:tcBorders>
              <w:top w:val="nil"/>
              <w:left w:val="nil"/>
              <w:bottom w:val="single" w:sz="4" w:space="0" w:color="auto"/>
              <w:right w:val="single" w:sz="4" w:space="0" w:color="auto"/>
            </w:tcBorders>
            <w:shd w:val="clear" w:color="auto" w:fill="auto"/>
            <w:noWrap/>
            <w:vAlign w:val="bottom"/>
            <w:hideMark/>
          </w:tcPr>
          <w:p w14:paraId="29249154"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598.9</w:t>
            </w:r>
          </w:p>
        </w:tc>
        <w:tc>
          <w:tcPr>
            <w:tcW w:w="1040" w:type="dxa"/>
            <w:tcBorders>
              <w:top w:val="nil"/>
              <w:left w:val="nil"/>
              <w:bottom w:val="single" w:sz="4" w:space="0" w:color="auto"/>
              <w:right w:val="single" w:sz="4" w:space="0" w:color="auto"/>
            </w:tcBorders>
            <w:shd w:val="clear" w:color="auto" w:fill="92D050"/>
            <w:noWrap/>
            <w:vAlign w:val="bottom"/>
            <w:hideMark/>
          </w:tcPr>
          <w:p w14:paraId="7AE80932" w14:textId="77777777" w:rsidR="00560DE3" w:rsidRPr="00560DE3" w:rsidRDefault="00560DE3" w:rsidP="00560DE3">
            <w:pPr>
              <w:spacing w:line="240" w:lineRule="auto"/>
              <w:ind w:firstLine="0"/>
              <w:jc w:val="center"/>
              <w:rPr>
                <w:rFonts w:ascii="Calibri" w:eastAsia="Times New Roman" w:hAnsi="Calibri" w:cs="Calibri"/>
                <w:color w:val="006100"/>
                <w:sz w:val="22"/>
                <w:szCs w:val="22"/>
                <w:lang w:eastAsia="en-US"/>
              </w:rPr>
            </w:pPr>
            <w:r w:rsidRPr="00560DE3">
              <w:rPr>
                <w:rFonts w:ascii="Calibri" w:eastAsia="Times New Roman" w:hAnsi="Calibri" w:cs="Calibri"/>
                <w:color w:val="006100"/>
                <w:sz w:val="22"/>
                <w:szCs w:val="22"/>
                <w:lang w:eastAsia="en-US"/>
              </w:rPr>
              <w:t>0.0859</w:t>
            </w:r>
          </w:p>
        </w:tc>
        <w:tc>
          <w:tcPr>
            <w:tcW w:w="920" w:type="dxa"/>
            <w:tcBorders>
              <w:top w:val="nil"/>
              <w:left w:val="nil"/>
              <w:bottom w:val="single" w:sz="4" w:space="0" w:color="auto"/>
              <w:right w:val="single" w:sz="4" w:space="0" w:color="auto"/>
            </w:tcBorders>
            <w:shd w:val="clear" w:color="auto" w:fill="auto"/>
            <w:noWrap/>
            <w:vAlign w:val="bottom"/>
            <w:hideMark/>
          </w:tcPr>
          <w:p w14:paraId="32B5C085"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6.04%</w:t>
            </w:r>
          </w:p>
        </w:tc>
        <w:tc>
          <w:tcPr>
            <w:tcW w:w="1040" w:type="dxa"/>
            <w:tcBorders>
              <w:top w:val="nil"/>
              <w:left w:val="nil"/>
              <w:bottom w:val="single" w:sz="4" w:space="0" w:color="auto"/>
              <w:right w:val="single" w:sz="4" w:space="0" w:color="auto"/>
            </w:tcBorders>
            <w:shd w:val="clear" w:color="auto" w:fill="auto"/>
            <w:noWrap/>
            <w:vAlign w:val="bottom"/>
            <w:hideMark/>
          </w:tcPr>
          <w:p w14:paraId="01A783D0"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80.9%</w:t>
            </w:r>
          </w:p>
        </w:tc>
        <w:tc>
          <w:tcPr>
            <w:tcW w:w="1040" w:type="dxa"/>
            <w:tcBorders>
              <w:top w:val="nil"/>
              <w:left w:val="nil"/>
              <w:bottom w:val="single" w:sz="4" w:space="0" w:color="auto"/>
              <w:right w:val="single" w:sz="4" w:space="0" w:color="auto"/>
            </w:tcBorders>
            <w:shd w:val="clear" w:color="auto" w:fill="auto"/>
            <w:noWrap/>
            <w:vAlign w:val="bottom"/>
            <w:hideMark/>
          </w:tcPr>
          <w:p w14:paraId="12787FB5"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1.21%</w:t>
            </w:r>
          </w:p>
        </w:tc>
      </w:tr>
      <w:tr w:rsidR="00560DE3" w:rsidRPr="00560DE3" w14:paraId="71A0F59F" w14:textId="77777777" w:rsidTr="00560DE3">
        <w:trPr>
          <w:trHeight w:val="288"/>
        </w:trPr>
        <w:tc>
          <w:tcPr>
            <w:tcW w:w="1040" w:type="dxa"/>
            <w:tcBorders>
              <w:top w:val="nil"/>
              <w:left w:val="single" w:sz="4" w:space="0" w:color="auto"/>
              <w:bottom w:val="single" w:sz="4" w:space="0" w:color="auto"/>
              <w:right w:val="single" w:sz="4" w:space="0" w:color="auto"/>
            </w:tcBorders>
            <w:shd w:val="clear" w:color="000000" w:fill="FFC7CE"/>
            <w:noWrap/>
            <w:vAlign w:val="bottom"/>
            <w:hideMark/>
          </w:tcPr>
          <w:p w14:paraId="1A800420"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10</w:t>
            </w:r>
          </w:p>
        </w:tc>
        <w:tc>
          <w:tcPr>
            <w:tcW w:w="1040" w:type="dxa"/>
            <w:tcBorders>
              <w:top w:val="nil"/>
              <w:left w:val="nil"/>
              <w:bottom w:val="single" w:sz="4" w:space="0" w:color="auto"/>
              <w:right w:val="single" w:sz="4" w:space="0" w:color="auto"/>
            </w:tcBorders>
            <w:shd w:val="clear" w:color="auto" w:fill="auto"/>
            <w:noWrap/>
            <w:vAlign w:val="bottom"/>
            <w:hideMark/>
          </w:tcPr>
          <w:p w14:paraId="3C2B001A"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7.81%</w:t>
            </w:r>
          </w:p>
        </w:tc>
        <w:tc>
          <w:tcPr>
            <w:tcW w:w="1120" w:type="dxa"/>
            <w:tcBorders>
              <w:top w:val="nil"/>
              <w:left w:val="nil"/>
              <w:bottom w:val="single" w:sz="4" w:space="0" w:color="auto"/>
              <w:right w:val="single" w:sz="4" w:space="0" w:color="auto"/>
            </w:tcBorders>
            <w:shd w:val="clear" w:color="auto" w:fill="auto"/>
            <w:noWrap/>
            <w:vAlign w:val="bottom"/>
            <w:hideMark/>
          </w:tcPr>
          <w:p w14:paraId="58AFB7AE"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 xml:space="preserve">2.19 </w:t>
            </w:r>
          </w:p>
        </w:tc>
        <w:tc>
          <w:tcPr>
            <w:tcW w:w="1120" w:type="dxa"/>
            <w:tcBorders>
              <w:top w:val="nil"/>
              <w:left w:val="nil"/>
              <w:bottom w:val="single" w:sz="4" w:space="0" w:color="auto"/>
              <w:right w:val="single" w:sz="4" w:space="0" w:color="auto"/>
            </w:tcBorders>
            <w:shd w:val="clear" w:color="auto" w:fill="auto"/>
            <w:noWrap/>
            <w:vAlign w:val="bottom"/>
            <w:hideMark/>
          </w:tcPr>
          <w:p w14:paraId="68266247"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453</w:t>
            </w:r>
          </w:p>
        </w:tc>
        <w:tc>
          <w:tcPr>
            <w:tcW w:w="1040" w:type="dxa"/>
            <w:tcBorders>
              <w:top w:val="nil"/>
              <w:left w:val="nil"/>
              <w:bottom w:val="single" w:sz="4" w:space="0" w:color="auto"/>
              <w:right w:val="single" w:sz="4" w:space="0" w:color="auto"/>
            </w:tcBorders>
            <w:shd w:val="clear" w:color="auto" w:fill="auto"/>
            <w:noWrap/>
            <w:vAlign w:val="bottom"/>
            <w:hideMark/>
          </w:tcPr>
          <w:p w14:paraId="2395365B"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275.7</w:t>
            </w:r>
          </w:p>
        </w:tc>
        <w:tc>
          <w:tcPr>
            <w:tcW w:w="1040" w:type="dxa"/>
            <w:tcBorders>
              <w:top w:val="nil"/>
              <w:left w:val="nil"/>
              <w:bottom w:val="single" w:sz="4" w:space="0" w:color="auto"/>
              <w:right w:val="single" w:sz="4" w:space="0" w:color="auto"/>
            </w:tcBorders>
            <w:shd w:val="clear" w:color="000000" w:fill="FFC7CE"/>
            <w:noWrap/>
            <w:vAlign w:val="bottom"/>
            <w:hideMark/>
          </w:tcPr>
          <w:p w14:paraId="2E52FE80"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0.0000</w:t>
            </w:r>
          </w:p>
        </w:tc>
        <w:tc>
          <w:tcPr>
            <w:tcW w:w="920" w:type="dxa"/>
            <w:tcBorders>
              <w:top w:val="nil"/>
              <w:left w:val="nil"/>
              <w:bottom w:val="single" w:sz="4" w:space="0" w:color="auto"/>
              <w:right w:val="single" w:sz="4" w:space="0" w:color="auto"/>
            </w:tcBorders>
            <w:shd w:val="clear" w:color="auto" w:fill="auto"/>
            <w:noWrap/>
            <w:vAlign w:val="bottom"/>
            <w:hideMark/>
          </w:tcPr>
          <w:p w14:paraId="40FA4C3E"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5.88%</w:t>
            </w:r>
          </w:p>
        </w:tc>
        <w:tc>
          <w:tcPr>
            <w:tcW w:w="1040" w:type="dxa"/>
            <w:tcBorders>
              <w:top w:val="nil"/>
              <w:left w:val="nil"/>
              <w:bottom w:val="single" w:sz="4" w:space="0" w:color="auto"/>
              <w:right w:val="single" w:sz="4" w:space="0" w:color="auto"/>
            </w:tcBorders>
            <w:shd w:val="clear" w:color="auto" w:fill="auto"/>
            <w:noWrap/>
            <w:vAlign w:val="bottom"/>
            <w:hideMark/>
          </w:tcPr>
          <w:p w14:paraId="5D4BB4E6"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81.9%</w:t>
            </w:r>
          </w:p>
        </w:tc>
        <w:tc>
          <w:tcPr>
            <w:tcW w:w="1040" w:type="dxa"/>
            <w:tcBorders>
              <w:top w:val="nil"/>
              <w:left w:val="nil"/>
              <w:bottom w:val="single" w:sz="4" w:space="0" w:color="auto"/>
              <w:right w:val="single" w:sz="4" w:space="0" w:color="auto"/>
            </w:tcBorders>
            <w:shd w:val="clear" w:color="auto" w:fill="auto"/>
            <w:noWrap/>
            <w:vAlign w:val="bottom"/>
            <w:hideMark/>
          </w:tcPr>
          <w:p w14:paraId="3C67B53F"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0.88%</w:t>
            </w:r>
          </w:p>
        </w:tc>
      </w:tr>
      <w:tr w:rsidR="00560DE3" w:rsidRPr="00560DE3" w14:paraId="76DA4004" w14:textId="77777777" w:rsidTr="009C7F6D">
        <w:trPr>
          <w:trHeight w:val="288"/>
        </w:trPr>
        <w:tc>
          <w:tcPr>
            <w:tcW w:w="1040" w:type="dxa"/>
            <w:tcBorders>
              <w:top w:val="nil"/>
              <w:left w:val="single" w:sz="4" w:space="0" w:color="auto"/>
              <w:bottom w:val="single" w:sz="4" w:space="0" w:color="auto"/>
              <w:right w:val="single" w:sz="4" w:space="0" w:color="auto"/>
            </w:tcBorders>
            <w:shd w:val="clear" w:color="auto" w:fill="92D050"/>
            <w:noWrap/>
            <w:vAlign w:val="bottom"/>
            <w:hideMark/>
          </w:tcPr>
          <w:p w14:paraId="46FBB665" w14:textId="77777777" w:rsidR="00560DE3" w:rsidRPr="00560DE3" w:rsidRDefault="00560DE3" w:rsidP="00560DE3">
            <w:pPr>
              <w:spacing w:line="240" w:lineRule="auto"/>
              <w:ind w:firstLine="0"/>
              <w:jc w:val="center"/>
              <w:rPr>
                <w:rFonts w:ascii="Calibri" w:eastAsia="Times New Roman" w:hAnsi="Calibri" w:cs="Calibri"/>
                <w:color w:val="006100"/>
                <w:sz w:val="22"/>
                <w:szCs w:val="22"/>
                <w:lang w:eastAsia="en-US"/>
              </w:rPr>
            </w:pPr>
            <w:r w:rsidRPr="00560DE3">
              <w:rPr>
                <w:rFonts w:ascii="Calibri" w:eastAsia="Times New Roman" w:hAnsi="Calibri" w:cs="Calibri"/>
                <w:color w:val="006100"/>
                <w:sz w:val="22"/>
                <w:szCs w:val="22"/>
                <w:lang w:eastAsia="en-US"/>
              </w:rPr>
              <w:t>11</w:t>
            </w:r>
          </w:p>
        </w:tc>
        <w:tc>
          <w:tcPr>
            <w:tcW w:w="1040" w:type="dxa"/>
            <w:tcBorders>
              <w:top w:val="nil"/>
              <w:left w:val="nil"/>
              <w:bottom w:val="single" w:sz="4" w:space="0" w:color="auto"/>
              <w:right w:val="single" w:sz="4" w:space="0" w:color="auto"/>
            </w:tcBorders>
            <w:shd w:val="clear" w:color="auto" w:fill="auto"/>
            <w:noWrap/>
            <w:vAlign w:val="bottom"/>
            <w:hideMark/>
          </w:tcPr>
          <w:p w14:paraId="41910E3E"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10.89%</w:t>
            </w:r>
          </w:p>
        </w:tc>
        <w:tc>
          <w:tcPr>
            <w:tcW w:w="1120" w:type="dxa"/>
            <w:tcBorders>
              <w:top w:val="nil"/>
              <w:left w:val="nil"/>
              <w:bottom w:val="single" w:sz="4" w:space="0" w:color="auto"/>
              <w:right w:val="single" w:sz="4" w:space="0" w:color="auto"/>
            </w:tcBorders>
            <w:shd w:val="clear" w:color="auto" w:fill="auto"/>
            <w:noWrap/>
            <w:vAlign w:val="bottom"/>
            <w:hideMark/>
          </w:tcPr>
          <w:p w14:paraId="74DC3A49"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 xml:space="preserve">0.11 </w:t>
            </w:r>
          </w:p>
        </w:tc>
        <w:tc>
          <w:tcPr>
            <w:tcW w:w="1120" w:type="dxa"/>
            <w:tcBorders>
              <w:top w:val="nil"/>
              <w:left w:val="nil"/>
              <w:bottom w:val="single" w:sz="4" w:space="0" w:color="auto"/>
              <w:right w:val="single" w:sz="4" w:space="0" w:color="auto"/>
            </w:tcBorders>
            <w:shd w:val="clear" w:color="auto" w:fill="auto"/>
            <w:noWrap/>
            <w:vAlign w:val="bottom"/>
            <w:hideMark/>
          </w:tcPr>
          <w:p w14:paraId="3FB4F396"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340</w:t>
            </w:r>
          </w:p>
        </w:tc>
        <w:tc>
          <w:tcPr>
            <w:tcW w:w="1040" w:type="dxa"/>
            <w:tcBorders>
              <w:top w:val="nil"/>
              <w:left w:val="nil"/>
              <w:bottom w:val="single" w:sz="4" w:space="0" w:color="auto"/>
              <w:right w:val="single" w:sz="4" w:space="0" w:color="auto"/>
            </w:tcBorders>
            <w:shd w:val="clear" w:color="auto" w:fill="auto"/>
            <w:noWrap/>
            <w:vAlign w:val="bottom"/>
            <w:hideMark/>
          </w:tcPr>
          <w:p w14:paraId="1BF19F15"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332.3</w:t>
            </w:r>
          </w:p>
        </w:tc>
        <w:tc>
          <w:tcPr>
            <w:tcW w:w="1040" w:type="dxa"/>
            <w:tcBorders>
              <w:top w:val="nil"/>
              <w:left w:val="nil"/>
              <w:bottom w:val="single" w:sz="4" w:space="0" w:color="auto"/>
              <w:right w:val="single" w:sz="4" w:space="0" w:color="auto"/>
            </w:tcBorders>
            <w:shd w:val="clear" w:color="auto" w:fill="92D050"/>
            <w:noWrap/>
            <w:vAlign w:val="bottom"/>
            <w:hideMark/>
          </w:tcPr>
          <w:p w14:paraId="1F709716" w14:textId="77777777" w:rsidR="00560DE3" w:rsidRPr="00560DE3" w:rsidRDefault="00560DE3" w:rsidP="00560DE3">
            <w:pPr>
              <w:spacing w:line="240" w:lineRule="auto"/>
              <w:ind w:firstLine="0"/>
              <w:jc w:val="center"/>
              <w:rPr>
                <w:rFonts w:ascii="Calibri" w:eastAsia="Times New Roman" w:hAnsi="Calibri" w:cs="Calibri"/>
                <w:color w:val="006100"/>
                <w:sz w:val="22"/>
                <w:szCs w:val="22"/>
                <w:lang w:eastAsia="en-US"/>
              </w:rPr>
            </w:pPr>
            <w:r w:rsidRPr="00560DE3">
              <w:rPr>
                <w:rFonts w:ascii="Calibri" w:eastAsia="Times New Roman" w:hAnsi="Calibri" w:cs="Calibri"/>
                <w:color w:val="006100"/>
                <w:sz w:val="22"/>
                <w:szCs w:val="22"/>
                <w:lang w:eastAsia="en-US"/>
              </w:rPr>
              <w:t>0.7843</w:t>
            </w:r>
          </w:p>
        </w:tc>
        <w:tc>
          <w:tcPr>
            <w:tcW w:w="920" w:type="dxa"/>
            <w:tcBorders>
              <w:top w:val="nil"/>
              <w:left w:val="nil"/>
              <w:bottom w:val="single" w:sz="4" w:space="0" w:color="auto"/>
              <w:right w:val="single" w:sz="4" w:space="0" w:color="auto"/>
            </w:tcBorders>
            <w:shd w:val="clear" w:color="auto" w:fill="auto"/>
            <w:noWrap/>
            <w:vAlign w:val="bottom"/>
            <w:hideMark/>
          </w:tcPr>
          <w:p w14:paraId="3D60F225"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7.29%</w:t>
            </w:r>
          </w:p>
        </w:tc>
        <w:tc>
          <w:tcPr>
            <w:tcW w:w="1040" w:type="dxa"/>
            <w:tcBorders>
              <w:top w:val="nil"/>
              <w:left w:val="nil"/>
              <w:bottom w:val="single" w:sz="4" w:space="0" w:color="auto"/>
              <w:right w:val="single" w:sz="4" w:space="0" w:color="auto"/>
            </w:tcBorders>
            <w:shd w:val="clear" w:color="auto" w:fill="auto"/>
            <w:noWrap/>
            <w:vAlign w:val="bottom"/>
            <w:hideMark/>
          </w:tcPr>
          <w:p w14:paraId="4B365666"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77.9%</w:t>
            </w:r>
          </w:p>
        </w:tc>
        <w:tc>
          <w:tcPr>
            <w:tcW w:w="1040" w:type="dxa"/>
            <w:tcBorders>
              <w:top w:val="nil"/>
              <w:left w:val="nil"/>
              <w:bottom w:val="single" w:sz="4" w:space="0" w:color="auto"/>
              <w:right w:val="single" w:sz="4" w:space="0" w:color="auto"/>
            </w:tcBorders>
            <w:shd w:val="clear" w:color="auto" w:fill="auto"/>
            <w:noWrap/>
            <w:vAlign w:val="bottom"/>
            <w:hideMark/>
          </w:tcPr>
          <w:p w14:paraId="7E9D628A"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3.24%</w:t>
            </w:r>
          </w:p>
        </w:tc>
      </w:tr>
      <w:tr w:rsidR="00560DE3" w:rsidRPr="00560DE3" w14:paraId="54FDE63A" w14:textId="77777777" w:rsidTr="00560DE3">
        <w:trPr>
          <w:trHeight w:val="288"/>
        </w:trPr>
        <w:tc>
          <w:tcPr>
            <w:tcW w:w="1040" w:type="dxa"/>
            <w:tcBorders>
              <w:top w:val="nil"/>
              <w:left w:val="single" w:sz="4" w:space="0" w:color="auto"/>
              <w:bottom w:val="single" w:sz="4" w:space="0" w:color="auto"/>
              <w:right w:val="single" w:sz="4" w:space="0" w:color="auto"/>
            </w:tcBorders>
            <w:shd w:val="clear" w:color="000000" w:fill="FFC7CE"/>
            <w:noWrap/>
            <w:vAlign w:val="bottom"/>
            <w:hideMark/>
          </w:tcPr>
          <w:p w14:paraId="2DD6CB45"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12</w:t>
            </w:r>
          </w:p>
        </w:tc>
        <w:tc>
          <w:tcPr>
            <w:tcW w:w="1040" w:type="dxa"/>
            <w:tcBorders>
              <w:top w:val="nil"/>
              <w:left w:val="nil"/>
              <w:bottom w:val="single" w:sz="4" w:space="0" w:color="auto"/>
              <w:right w:val="single" w:sz="4" w:space="0" w:color="auto"/>
            </w:tcBorders>
            <w:shd w:val="clear" w:color="auto" w:fill="auto"/>
            <w:noWrap/>
            <w:vAlign w:val="bottom"/>
            <w:hideMark/>
          </w:tcPr>
          <w:p w14:paraId="2440EC9C"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10.58%</w:t>
            </w:r>
          </w:p>
        </w:tc>
        <w:tc>
          <w:tcPr>
            <w:tcW w:w="1120" w:type="dxa"/>
            <w:tcBorders>
              <w:top w:val="nil"/>
              <w:left w:val="nil"/>
              <w:bottom w:val="single" w:sz="4" w:space="0" w:color="auto"/>
              <w:right w:val="single" w:sz="4" w:space="0" w:color="auto"/>
            </w:tcBorders>
            <w:shd w:val="clear" w:color="auto" w:fill="auto"/>
            <w:noWrap/>
            <w:vAlign w:val="bottom"/>
            <w:hideMark/>
          </w:tcPr>
          <w:p w14:paraId="69C1EEA4"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 xml:space="preserve">1.42 </w:t>
            </w:r>
          </w:p>
        </w:tc>
        <w:tc>
          <w:tcPr>
            <w:tcW w:w="1120" w:type="dxa"/>
            <w:tcBorders>
              <w:top w:val="nil"/>
              <w:left w:val="nil"/>
              <w:bottom w:val="single" w:sz="4" w:space="0" w:color="auto"/>
              <w:right w:val="single" w:sz="4" w:space="0" w:color="auto"/>
            </w:tcBorders>
            <w:shd w:val="clear" w:color="auto" w:fill="auto"/>
            <w:noWrap/>
            <w:vAlign w:val="bottom"/>
            <w:hideMark/>
          </w:tcPr>
          <w:p w14:paraId="4FECFED7"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262</w:t>
            </w:r>
          </w:p>
        </w:tc>
        <w:tc>
          <w:tcPr>
            <w:tcW w:w="1040" w:type="dxa"/>
            <w:tcBorders>
              <w:top w:val="nil"/>
              <w:left w:val="nil"/>
              <w:bottom w:val="single" w:sz="4" w:space="0" w:color="auto"/>
              <w:right w:val="single" w:sz="4" w:space="0" w:color="auto"/>
            </w:tcBorders>
            <w:shd w:val="clear" w:color="auto" w:fill="auto"/>
            <w:noWrap/>
            <w:vAlign w:val="bottom"/>
            <w:hideMark/>
          </w:tcPr>
          <w:p w14:paraId="51F96235"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202.9</w:t>
            </w:r>
          </w:p>
        </w:tc>
        <w:tc>
          <w:tcPr>
            <w:tcW w:w="1040" w:type="dxa"/>
            <w:tcBorders>
              <w:top w:val="nil"/>
              <w:left w:val="nil"/>
              <w:bottom w:val="single" w:sz="4" w:space="0" w:color="auto"/>
              <w:right w:val="single" w:sz="4" w:space="0" w:color="auto"/>
            </w:tcBorders>
            <w:shd w:val="clear" w:color="000000" w:fill="FFC7CE"/>
            <w:noWrap/>
            <w:vAlign w:val="bottom"/>
            <w:hideMark/>
          </w:tcPr>
          <w:p w14:paraId="67397EDE"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0.0055</w:t>
            </w:r>
          </w:p>
        </w:tc>
        <w:tc>
          <w:tcPr>
            <w:tcW w:w="920" w:type="dxa"/>
            <w:tcBorders>
              <w:top w:val="nil"/>
              <w:left w:val="nil"/>
              <w:bottom w:val="single" w:sz="4" w:space="0" w:color="auto"/>
              <w:right w:val="single" w:sz="4" w:space="0" w:color="auto"/>
            </w:tcBorders>
            <w:shd w:val="clear" w:color="auto" w:fill="auto"/>
            <w:noWrap/>
            <w:vAlign w:val="bottom"/>
            <w:hideMark/>
          </w:tcPr>
          <w:p w14:paraId="23C4EEE8"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7.01%</w:t>
            </w:r>
          </w:p>
        </w:tc>
        <w:tc>
          <w:tcPr>
            <w:tcW w:w="1040" w:type="dxa"/>
            <w:tcBorders>
              <w:top w:val="nil"/>
              <w:left w:val="nil"/>
              <w:bottom w:val="single" w:sz="4" w:space="0" w:color="auto"/>
              <w:right w:val="single" w:sz="4" w:space="0" w:color="auto"/>
            </w:tcBorders>
            <w:shd w:val="clear" w:color="auto" w:fill="auto"/>
            <w:noWrap/>
            <w:vAlign w:val="bottom"/>
            <w:hideMark/>
          </w:tcPr>
          <w:p w14:paraId="550DEF1B"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77.9%</w:t>
            </w:r>
          </w:p>
        </w:tc>
        <w:tc>
          <w:tcPr>
            <w:tcW w:w="1040" w:type="dxa"/>
            <w:tcBorders>
              <w:top w:val="nil"/>
              <w:left w:val="nil"/>
              <w:bottom w:val="single" w:sz="4" w:space="0" w:color="auto"/>
              <w:right w:val="single" w:sz="4" w:space="0" w:color="auto"/>
            </w:tcBorders>
            <w:shd w:val="clear" w:color="auto" w:fill="auto"/>
            <w:noWrap/>
            <w:vAlign w:val="bottom"/>
            <w:hideMark/>
          </w:tcPr>
          <w:p w14:paraId="129ABAD3"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2.67%</w:t>
            </w:r>
          </w:p>
        </w:tc>
      </w:tr>
      <w:tr w:rsidR="00560DE3" w:rsidRPr="00560DE3" w14:paraId="0C86EB8C" w14:textId="77777777" w:rsidTr="00560DE3">
        <w:trPr>
          <w:trHeight w:val="288"/>
        </w:trPr>
        <w:tc>
          <w:tcPr>
            <w:tcW w:w="1040" w:type="dxa"/>
            <w:tcBorders>
              <w:top w:val="nil"/>
              <w:left w:val="single" w:sz="4" w:space="0" w:color="auto"/>
              <w:bottom w:val="single" w:sz="4" w:space="0" w:color="auto"/>
              <w:right w:val="single" w:sz="4" w:space="0" w:color="auto"/>
            </w:tcBorders>
            <w:shd w:val="clear" w:color="000000" w:fill="FFC7CE"/>
            <w:noWrap/>
            <w:vAlign w:val="bottom"/>
            <w:hideMark/>
          </w:tcPr>
          <w:p w14:paraId="2B76140A"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13</w:t>
            </w:r>
          </w:p>
        </w:tc>
        <w:tc>
          <w:tcPr>
            <w:tcW w:w="1040" w:type="dxa"/>
            <w:tcBorders>
              <w:top w:val="nil"/>
              <w:left w:val="nil"/>
              <w:bottom w:val="single" w:sz="4" w:space="0" w:color="auto"/>
              <w:right w:val="single" w:sz="4" w:space="0" w:color="auto"/>
            </w:tcBorders>
            <w:shd w:val="clear" w:color="auto" w:fill="auto"/>
            <w:noWrap/>
            <w:vAlign w:val="bottom"/>
            <w:hideMark/>
          </w:tcPr>
          <w:p w14:paraId="6BEB9CB8"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10.56%</w:t>
            </w:r>
          </w:p>
        </w:tc>
        <w:tc>
          <w:tcPr>
            <w:tcW w:w="1120" w:type="dxa"/>
            <w:tcBorders>
              <w:top w:val="nil"/>
              <w:left w:val="nil"/>
              <w:bottom w:val="single" w:sz="4" w:space="0" w:color="auto"/>
              <w:right w:val="single" w:sz="4" w:space="0" w:color="auto"/>
            </w:tcBorders>
            <w:shd w:val="clear" w:color="auto" w:fill="auto"/>
            <w:noWrap/>
            <w:vAlign w:val="bottom"/>
            <w:hideMark/>
          </w:tcPr>
          <w:p w14:paraId="48E83DEC"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 xml:space="preserve">2.44 </w:t>
            </w:r>
          </w:p>
        </w:tc>
        <w:tc>
          <w:tcPr>
            <w:tcW w:w="1120" w:type="dxa"/>
            <w:tcBorders>
              <w:top w:val="nil"/>
              <w:left w:val="nil"/>
              <w:bottom w:val="single" w:sz="4" w:space="0" w:color="auto"/>
              <w:right w:val="single" w:sz="4" w:space="0" w:color="auto"/>
            </w:tcBorders>
            <w:shd w:val="clear" w:color="auto" w:fill="auto"/>
            <w:noWrap/>
            <w:vAlign w:val="bottom"/>
            <w:hideMark/>
          </w:tcPr>
          <w:p w14:paraId="109C62F9"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171</w:t>
            </w:r>
          </w:p>
        </w:tc>
        <w:tc>
          <w:tcPr>
            <w:tcW w:w="1040" w:type="dxa"/>
            <w:tcBorders>
              <w:top w:val="nil"/>
              <w:left w:val="nil"/>
              <w:bottom w:val="single" w:sz="4" w:space="0" w:color="auto"/>
              <w:right w:val="single" w:sz="4" w:space="0" w:color="auto"/>
            </w:tcBorders>
            <w:shd w:val="clear" w:color="auto" w:fill="auto"/>
            <w:noWrap/>
            <w:vAlign w:val="bottom"/>
            <w:hideMark/>
          </w:tcPr>
          <w:p w14:paraId="5A8DB4EF"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112.2</w:t>
            </w:r>
          </w:p>
        </w:tc>
        <w:tc>
          <w:tcPr>
            <w:tcW w:w="1040" w:type="dxa"/>
            <w:tcBorders>
              <w:top w:val="nil"/>
              <w:left w:val="nil"/>
              <w:bottom w:val="single" w:sz="4" w:space="0" w:color="auto"/>
              <w:right w:val="single" w:sz="4" w:space="0" w:color="auto"/>
            </w:tcBorders>
            <w:shd w:val="clear" w:color="000000" w:fill="FFC7CE"/>
            <w:noWrap/>
            <w:vAlign w:val="bottom"/>
            <w:hideMark/>
          </w:tcPr>
          <w:p w14:paraId="096323CC"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0.0003</w:t>
            </w:r>
          </w:p>
        </w:tc>
        <w:tc>
          <w:tcPr>
            <w:tcW w:w="920" w:type="dxa"/>
            <w:tcBorders>
              <w:top w:val="nil"/>
              <w:left w:val="nil"/>
              <w:bottom w:val="single" w:sz="4" w:space="0" w:color="auto"/>
              <w:right w:val="single" w:sz="4" w:space="0" w:color="auto"/>
            </w:tcBorders>
            <w:shd w:val="clear" w:color="auto" w:fill="auto"/>
            <w:noWrap/>
            <w:vAlign w:val="bottom"/>
            <w:hideMark/>
          </w:tcPr>
          <w:p w14:paraId="3B60FCF6"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7.92%</w:t>
            </w:r>
          </w:p>
        </w:tc>
        <w:tc>
          <w:tcPr>
            <w:tcW w:w="1040" w:type="dxa"/>
            <w:tcBorders>
              <w:top w:val="nil"/>
              <w:left w:val="nil"/>
              <w:bottom w:val="single" w:sz="4" w:space="0" w:color="auto"/>
              <w:right w:val="single" w:sz="4" w:space="0" w:color="auto"/>
            </w:tcBorders>
            <w:shd w:val="clear" w:color="auto" w:fill="auto"/>
            <w:noWrap/>
            <w:vAlign w:val="bottom"/>
            <w:hideMark/>
          </w:tcPr>
          <w:p w14:paraId="12D53785"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71.4%</w:t>
            </w:r>
          </w:p>
        </w:tc>
        <w:tc>
          <w:tcPr>
            <w:tcW w:w="1040" w:type="dxa"/>
            <w:tcBorders>
              <w:top w:val="nil"/>
              <w:left w:val="nil"/>
              <w:bottom w:val="single" w:sz="4" w:space="0" w:color="auto"/>
              <w:right w:val="single" w:sz="4" w:space="0" w:color="auto"/>
            </w:tcBorders>
            <w:shd w:val="clear" w:color="auto" w:fill="auto"/>
            <w:noWrap/>
            <w:vAlign w:val="bottom"/>
            <w:hideMark/>
          </w:tcPr>
          <w:p w14:paraId="18BFAE1A"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2.92%</w:t>
            </w:r>
          </w:p>
        </w:tc>
      </w:tr>
      <w:tr w:rsidR="00560DE3" w:rsidRPr="00560DE3" w14:paraId="541E1841" w14:textId="77777777" w:rsidTr="00560DE3">
        <w:trPr>
          <w:trHeight w:val="288"/>
        </w:trPr>
        <w:tc>
          <w:tcPr>
            <w:tcW w:w="1040" w:type="dxa"/>
            <w:tcBorders>
              <w:top w:val="nil"/>
              <w:left w:val="single" w:sz="4" w:space="0" w:color="auto"/>
              <w:bottom w:val="single" w:sz="4" w:space="0" w:color="auto"/>
              <w:right w:val="single" w:sz="4" w:space="0" w:color="auto"/>
            </w:tcBorders>
            <w:shd w:val="clear" w:color="000000" w:fill="FFC7CE"/>
            <w:noWrap/>
            <w:vAlign w:val="bottom"/>
            <w:hideMark/>
          </w:tcPr>
          <w:p w14:paraId="2F071401"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14</w:t>
            </w:r>
          </w:p>
        </w:tc>
        <w:tc>
          <w:tcPr>
            <w:tcW w:w="1040" w:type="dxa"/>
            <w:tcBorders>
              <w:top w:val="nil"/>
              <w:left w:val="nil"/>
              <w:bottom w:val="single" w:sz="4" w:space="0" w:color="auto"/>
              <w:right w:val="single" w:sz="4" w:space="0" w:color="auto"/>
            </w:tcBorders>
            <w:shd w:val="clear" w:color="auto" w:fill="auto"/>
            <w:noWrap/>
            <w:vAlign w:val="bottom"/>
            <w:hideMark/>
          </w:tcPr>
          <w:p w14:paraId="3D974268"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7.89%</w:t>
            </w:r>
          </w:p>
        </w:tc>
        <w:tc>
          <w:tcPr>
            <w:tcW w:w="1120" w:type="dxa"/>
            <w:tcBorders>
              <w:top w:val="nil"/>
              <w:left w:val="nil"/>
              <w:bottom w:val="single" w:sz="4" w:space="0" w:color="auto"/>
              <w:right w:val="single" w:sz="4" w:space="0" w:color="auto"/>
            </w:tcBorders>
            <w:shd w:val="clear" w:color="auto" w:fill="auto"/>
            <w:noWrap/>
            <w:vAlign w:val="bottom"/>
            <w:hideMark/>
          </w:tcPr>
          <w:p w14:paraId="6EDB53AA"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 xml:space="preserve">6.11 </w:t>
            </w:r>
          </w:p>
        </w:tc>
        <w:tc>
          <w:tcPr>
            <w:tcW w:w="1120" w:type="dxa"/>
            <w:tcBorders>
              <w:top w:val="nil"/>
              <w:left w:val="nil"/>
              <w:bottom w:val="single" w:sz="4" w:space="0" w:color="auto"/>
              <w:right w:val="single" w:sz="4" w:space="0" w:color="auto"/>
            </w:tcBorders>
            <w:shd w:val="clear" w:color="auto" w:fill="auto"/>
            <w:noWrap/>
            <w:vAlign w:val="bottom"/>
            <w:hideMark/>
          </w:tcPr>
          <w:p w14:paraId="6F259053"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109</w:t>
            </w:r>
          </w:p>
        </w:tc>
        <w:tc>
          <w:tcPr>
            <w:tcW w:w="1040" w:type="dxa"/>
            <w:tcBorders>
              <w:top w:val="nil"/>
              <w:left w:val="nil"/>
              <w:bottom w:val="single" w:sz="4" w:space="0" w:color="auto"/>
              <w:right w:val="single" w:sz="4" w:space="0" w:color="auto"/>
            </w:tcBorders>
            <w:shd w:val="clear" w:color="auto" w:fill="auto"/>
            <w:noWrap/>
            <w:vAlign w:val="bottom"/>
            <w:hideMark/>
          </w:tcPr>
          <w:p w14:paraId="0F1EABD4"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34.3</w:t>
            </w:r>
          </w:p>
        </w:tc>
        <w:tc>
          <w:tcPr>
            <w:tcW w:w="1040" w:type="dxa"/>
            <w:tcBorders>
              <w:top w:val="nil"/>
              <w:left w:val="nil"/>
              <w:bottom w:val="single" w:sz="4" w:space="0" w:color="auto"/>
              <w:right w:val="single" w:sz="4" w:space="0" w:color="auto"/>
            </w:tcBorders>
            <w:shd w:val="clear" w:color="000000" w:fill="FFC7CE"/>
            <w:noWrap/>
            <w:vAlign w:val="bottom"/>
            <w:hideMark/>
          </w:tcPr>
          <w:p w14:paraId="26B2983E"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0.0000</w:t>
            </w:r>
          </w:p>
        </w:tc>
        <w:tc>
          <w:tcPr>
            <w:tcW w:w="920" w:type="dxa"/>
            <w:tcBorders>
              <w:top w:val="nil"/>
              <w:left w:val="nil"/>
              <w:bottom w:val="single" w:sz="4" w:space="0" w:color="auto"/>
              <w:right w:val="single" w:sz="4" w:space="0" w:color="auto"/>
            </w:tcBorders>
            <w:shd w:val="clear" w:color="auto" w:fill="auto"/>
            <w:noWrap/>
            <w:vAlign w:val="bottom"/>
            <w:hideMark/>
          </w:tcPr>
          <w:p w14:paraId="2C874D27"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7.01%</w:t>
            </w:r>
          </w:p>
        </w:tc>
        <w:tc>
          <w:tcPr>
            <w:tcW w:w="1040" w:type="dxa"/>
            <w:tcBorders>
              <w:top w:val="nil"/>
              <w:left w:val="nil"/>
              <w:bottom w:val="single" w:sz="4" w:space="0" w:color="auto"/>
              <w:right w:val="single" w:sz="4" w:space="0" w:color="auto"/>
            </w:tcBorders>
            <w:shd w:val="clear" w:color="auto" w:fill="auto"/>
            <w:noWrap/>
            <w:vAlign w:val="bottom"/>
            <w:hideMark/>
          </w:tcPr>
          <w:p w14:paraId="5DA7A7B5"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72.5%</w:t>
            </w:r>
          </w:p>
        </w:tc>
        <w:tc>
          <w:tcPr>
            <w:tcW w:w="1040" w:type="dxa"/>
            <w:tcBorders>
              <w:top w:val="nil"/>
              <w:left w:val="nil"/>
              <w:bottom w:val="single" w:sz="4" w:space="0" w:color="auto"/>
              <w:right w:val="single" w:sz="4" w:space="0" w:color="auto"/>
            </w:tcBorders>
            <w:shd w:val="clear" w:color="auto" w:fill="auto"/>
            <w:noWrap/>
            <w:vAlign w:val="bottom"/>
            <w:hideMark/>
          </w:tcPr>
          <w:p w14:paraId="03D9C318"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 </w:t>
            </w:r>
          </w:p>
        </w:tc>
      </w:tr>
      <w:tr w:rsidR="00560DE3" w:rsidRPr="00560DE3" w14:paraId="7F5F30A9" w14:textId="77777777" w:rsidTr="00560DE3">
        <w:trPr>
          <w:trHeight w:val="288"/>
        </w:trPr>
        <w:tc>
          <w:tcPr>
            <w:tcW w:w="1040" w:type="dxa"/>
            <w:tcBorders>
              <w:top w:val="nil"/>
              <w:left w:val="single" w:sz="4" w:space="0" w:color="auto"/>
              <w:bottom w:val="single" w:sz="4" w:space="0" w:color="auto"/>
              <w:right w:val="single" w:sz="4" w:space="0" w:color="auto"/>
            </w:tcBorders>
            <w:shd w:val="clear" w:color="000000" w:fill="FFC7CE"/>
            <w:noWrap/>
            <w:vAlign w:val="bottom"/>
            <w:hideMark/>
          </w:tcPr>
          <w:p w14:paraId="219559B8"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15</w:t>
            </w:r>
          </w:p>
        </w:tc>
        <w:tc>
          <w:tcPr>
            <w:tcW w:w="1040" w:type="dxa"/>
            <w:tcBorders>
              <w:top w:val="nil"/>
              <w:left w:val="nil"/>
              <w:bottom w:val="single" w:sz="4" w:space="0" w:color="auto"/>
              <w:right w:val="single" w:sz="4" w:space="0" w:color="auto"/>
            </w:tcBorders>
            <w:shd w:val="clear" w:color="auto" w:fill="auto"/>
            <w:noWrap/>
            <w:vAlign w:val="bottom"/>
            <w:hideMark/>
          </w:tcPr>
          <w:p w14:paraId="799FB517"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8.78%</w:t>
            </w:r>
          </w:p>
        </w:tc>
        <w:tc>
          <w:tcPr>
            <w:tcW w:w="1120" w:type="dxa"/>
            <w:tcBorders>
              <w:top w:val="nil"/>
              <w:left w:val="nil"/>
              <w:bottom w:val="single" w:sz="4" w:space="0" w:color="auto"/>
              <w:right w:val="single" w:sz="4" w:space="0" w:color="auto"/>
            </w:tcBorders>
            <w:shd w:val="clear" w:color="auto" w:fill="auto"/>
            <w:noWrap/>
            <w:vAlign w:val="bottom"/>
            <w:hideMark/>
          </w:tcPr>
          <w:p w14:paraId="7EF33DF8"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 xml:space="preserve">6.22 </w:t>
            </w:r>
          </w:p>
        </w:tc>
        <w:tc>
          <w:tcPr>
            <w:tcW w:w="1120" w:type="dxa"/>
            <w:tcBorders>
              <w:top w:val="nil"/>
              <w:left w:val="nil"/>
              <w:bottom w:val="single" w:sz="4" w:space="0" w:color="auto"/>
              <w:right w:val="single" w:sz="4" w:space="0" w:color="auto"/>
            </w:tcBorders>
            <w:shd w:val="clear" w:color="auto" w:fill="auto"/>
            <w:noWrap/>
            <w:vAlign w:val="bottom"/>
            <w:hideMark/>
          </w:tcPr>
          <w:p w14:paraId="549D54CB"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69</w:t>
            </w:r>
          </w:p>
        </w:tc>
        <w:tc>
          <w:tcPr>
            <w:tcW w:w="1040" w:type="dxa"/>
            <w:tcBorders>
              <w:top w:val="nil"/>
              <w:left w:val="nil"/>
              <w:bottom w:val="single" w:sz="4" w:space="0" w:color="auto"/>
              <w:right w:val="single" w:sz="4" w:space="0" w:color="auto"/>
            </w:tcBorders>
            <w:shd w:val="clear" w:color="auto" w:fill="auto"/>
            <w:noWrap/>
            <w:vAlign w:val="bottom"/>
            <w:hideMark/>
          </w:tcPr>
          <w:p w14:paraId="32CAD9C5"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23.3</w:t>
            </w:r>
          </w:p>
        </w:tc>
        <w:tc>
          <w:tcPr>
            <w:tcW w:w="1040" w:type="dxa"/>
            <w:tcBorders>
              <w:top w:val="nil"/>
              <w:left w:val="nil"/>
              <w:bottom w:val="single" w:sz="4" w:space="0" w:color="auto"/>
              <w:right w:val="single" w:sz="4" w:space="0" w:color="auto"/>
            </w:tcBorders>
            <w:shd w:val="clear" w:color="000000" w:fill="FFC7CE"/>
            <w:noWrap/>
            <w:vAlign w:val="bottom"/>
            <w:hideMark/>
          </w:tcPr>
          <w:p w14:paraId="2B11353B"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0.0000</w:t>
            </w:r>
          </w:p>
        </w:tc>
        <w:tc>
          <w:tcPr>
            <w:tcW w:w="920" w:type="dxa"/>
            <w:tcBorders>
              <w:top w:val="nil"/>
              <w:left w:val="nil"/>
              <w:bottom w:val="single" w:sz="4" w:space="0" w:color="auto"/>
              <w:right w:val="single" w:sz="4" w:space="0" w:color="auto"/>
            </w:tcBorders>
            <w:shd w:val="clear" w:color="auto" w:fill="auto"/>
            <w:noWrap/>
            <w:vAlign w:val="bottom"/>
            <w:hideMark/>
          </w:tcPr>
          <w:p w14:paraId="4E33EA08"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6.68%</w:t>
            </w:r>
          </w:p>
        </w:tc>
        <w:tc>
          <w:tcPr>
            <w:tcW w:w="1040" w:type="dxa"/>
            <w:tcBorders>
              <w:top w:val="nil"/>
              <w:left w:val="nil"/>
              <w:bottom w:val="single" w:sz="4" w:space="0" w:color="auto"/>
              <w:right w:val="single" w:sz="4" w:space="0" w:color="auto"/>
            </w:tcBorders>
            <w:shd w:val="clear" w:color="auto" w:fill="auto"/>
            <w:noWrap/>
            <w:vAlign w:val="bottom"/>
            <w:hideMark/>
          </w:tcPr>
          <w:p w14:paraId="38A60754"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76.8%</w:t>
            </w:r>
          </w:p>
        </w:tc>
        <w:tc>
          <w:tcPr>
            <w:tcW w:w="1040" w:type="dxa"/>
            <w:tcBorders>
              <w:top w:val="nil"/>
              <w:left w:val="nil"/>
              <w:bottom w:val="single" w:sz="4" w:space="0" w:color="auto"/>
              <w:right w:val="single" w:sz="4" w:space="0" w:color="auto"/>
            </w:tcBorders>
            <w:shd w:val="clear" w:color="auto" w:fill="auto"/>
            <w:noWrap/>
            <w:vAlign w:val="bottom"/>
            <w:hideMark/>
          </w:tcPr>
          <w:p w14:paraId="5473F3DC"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 </w:t>
            </w:r>
          </w:p>
        </w:tc>
      </w:tr>
      <w:tr w:rsidR="00560DE3" w:rsidRPr="00560DE3" w14:paraId="0328C9FF" w14:textId="77777777" w:rsidTr="00560DE3">
        <w:trPr>
          <w:trHeight w:val="288"/>
        </w:trPr>
        <w:tc>
          <w:tcPr>
            <w:tcW w:w="1040" w:type="dxa"/>
            <w:tcBorders>
              <w:top w:val="nil"/>
              <w:left w:val="single" w:sz="4" w:space="0" w:color="auto"/>
              <w:bottom w:val="single" w:sz="4" w:space="0" w:color="auto"/>
              <w:right w:val="single" w:sz="4" w:space="0" w:color="auto"/>
            </w:tcBorders>
            <w:shd w:val="clear" w:color="000000" w:fill="FFC7CE"/>
            <w:noWrap/>
            <w:vAlign w:val="bottom"/>
            <w:hideMark/>
          </w:tcPr>
          <w:p w14:paraId="01DAB943"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16</w:t>
            </w:r>
          </w:p>
        </w:tc>
        <w:tc>
          <w:tcPr>
            <w:tcW w:w="1040" w:type="dxa"/>
            <w:tcBorders>
              <w:top w:val="nil"/>
              <w:left w:val="nil"/>
              <w:bottom w:val="single" w:sz="4" w:space="0" w:color="auto"/>
              <w:right w:val="single" w:sz="4" w:space="0" w:color="auto"/>
            </w:tcBorders>
            <w:shd w:val="clear" w:color="auto" w:fill="auto"/>
            <w:noWrap/>
            <w:vAlign w:val="bottom"/>
            <w:hideMark/>
          </w:tcPr>
          <w:p w14:paraId="3F01E82D"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6.45%</w:t>
            </w:r>
          </w:p>
        </w:tc>
        <w:tc>
          <w:tcPr>
            <w:tcW w:w="1120" w:type="dxa"/>
            <w:tcBorders>
              <w:top w:val="nil"/>
              <w:left w:val="nil"/>
              <w:bottom w:val="single" w:sz="4" w:space="0" w:color="auto"/>
              <w:right w:val="single" w:sz="4" w:space="0" w:color="auto"/>
            </w:tcBorders>
            <w:shd w:val="clear" w:color="auto" w:fill="auto"/>
            <w:noWrap/>
            <w:vAlign w:val="bottom"/>
            <w:hideMark/>
          </w:tcPr>
          <w:p w14:paraId="4734DFF7"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 xml:space="preserve">9.55 </w:t>
            </w:r>
          </w:p>
        </w:tc>
        <w:tc>
          <w:tcPr>
            <w:tcW w:w="1120" w:type="dxa"/>
            <w:tcBorders>
              <w:top w:val="nil"/>
              <w:left w:val="nil"/>
              <w:bottom w:val="single" w:sz="4" w:space="0" w:color="auto"/>
              <w:right w:val="single" w:sz="4" w:space="0" w:color="auto"/>
            </w:tcBorders>
            <w:shd w:val="clear" w:color="auto" w:fill="auto"/>
            <w:noWrap/>
            <w:vAlign w:val="bottom"/>
            <w:hideMark/>
          </w:tcPr>
          <w:p w14:paraId="5280DA80"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67</w:t>
            </w:r>
          </w:p>
        </w:tc>
        <w:tc>
          <w:tcPr>
            <w:tcW w:w="1040" w:type="dxa"/>
            <w:tcBorders>
              <w:top w:val="nil"/>
              <w:left w:val="nil"/>
              <w:bottom w:val="single" w:sz="4" w:space="0" w:color="auto"/>
              <w:right w:val="single" w:sz="4" w:space="0" w:color="auto"/>
            </w:tcBorders>
            <w:shd w:val="clear" w:color="auto" w:fill="auto"/>
            <w:noWrap/>
            <w:vAlign w:val="bottom"/>
            <w:hideMark/>
          </w:tcPr>
          <w:p w14:paraId="344B3D30"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10.7</w:t>
            </w:r>
          </w:p>
        </w:tc>
        <w:tc>
          <w:tcPr>
            <w:tcW w:w="1040" w:type="dxa"/>
            <w:tcBorders>
              <w:top w:val="nil"/>
              <w:left w:val="nil"/>
              <w:bottom w:val="single" w:sz="4" w:space="0" w:color="auto"/>
              <w:right w:val="single" w:sz="4" w:space="0" w:color="auto"/>
            </w:tcBorders>
            <w:shd w:val="clear" w:color="000000" w:fill="FFC7CE"/>
            <w:noWrap/>
            <w:vAlign w:val="bottom"/>
            <w:hideMark/>
          </w:tcPr>
          <w:p w14:paraId="4577285D"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0.0000</w:t>
            </w:r>
          </w:p>
        </w:tc>
        <w:tc>
          <w:tcPr>
            <w:tcW w:w="920" w:type="dxa"/>
            <w:tcBorders>
              <w:top w:val="nil"/>
              <w:left w:val="nil"/>
              <w:bottom w:val="single" w:sz="4" w:space="0" w:color="auto"/>
              <w:right w:val="single" w:sz="4" w:space="0" w:color="auto"/>
            </w:tcBorders>
            <w:shd w:val="clear" w:color="auto" w:fill="auto"/>
            <w:noWrap/>
            <w:vAlign w:val="bottom"/>
            <w:hideMark/>
          </w:tcPr>
          <w:p w14:paraId="07544E08"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5.26%</w:t>
            </w:r>
          </w:p>
        </w:tc>
        <w:tc>
          <w:tcPr>
            <w:tcW w:w="1040" w:type="dxa"/>
            <w:tcBorders>
              <w:top w:val="nil"/>
              <w:left w:val="nil"/>
              <w:bottom w:val="single" w:sz="4" w:space="0" w:color="auto"/>
              <w:right w:val="single" w:sz="4" w:space="0" w:color="auto"/>
            </w:tcBorders>
            <w:shd w:val="clear" w:color="auto" w:fill="auto"/>
            <w:noWrap/>
            <w:vAlign w:val="bottom"/>
            <w:hideMark/>
          </w:tcPr>
          <w:p w14:paraId="48423F01"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85.1%</w:t>
            </w:r>
          </w:p>
        </w:tc>
        <w:tc>
          <w:tcPr>
            <w:tcW w:w="1040" w:type="dxa"/>
            <w:tcBorders>
              <w:top w:val="nil"/>
              <w:left w:val="nil"/>
              <w:bottom w:val="single" w:sz="4" w:space="0" w:color="auto"/>
              <w:right w:val="single" w:sz="4" w:space="0" w:color="auto"/>
            </w:tcBorders>
            <w:shd w:val="clear" w:color="auto" w:fill="auto"/>
            <w:noWrap/>
            <w:vAlign w:val="bottom"/>
            <w:hideMark/>
          </w:tcPr>
          <w:p w14:paraId="3077E8C0"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 </w:t>
            </w:r>
          </w:p>
        </w:tc>
      </w:tr>
      <w:tr w:rsidR="00560DE3" w:rsidRPr="00560DE3" w14:paraId="7678A6E2" w14:textId="77777777" w:rsidTr="00560DE3">
        <w:trPr>
          <w:trHeight w:val="288"/>
        </w:trPr>
        <w:tc>
          <w:tcPr>
            <w:tcW w:w="1040" w:type="dxa"/>
            <w:tcBorders>
              <w:top w:val="nil"/>
              <w:left w:val="single" w:sz="4" w:space="0" w:color="auto"/>
              <w:bottom w:val="single" w:sz="4" w:space="0" w:color="auto"/>
              <w:right w:val="single" w:sz="4" w:space="0" w:color="auto"/>
            </w:tcBorders>
            <w:shd w:val="clear" w:color="000000" w:fill="FFC7CE"/>
            <w:noWrap/>
            <w:vAlign w:val="bottom"/>
            <w:hideMark/>
          </w:tcPr>
          <w:p w14:paraId="4ED9F09C"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17</w:t>
            </w:r>
          </w:p>
        </w:tc>
        <w:tc>
          <w:tcPr>
            <w:tcW w:w="1040" w:type="dxa"/>
            <w:tcBorders>
              <w:top w:val="nil"/>
              <w:left w:val="nil"/>
              <w:bottom w:val="single" w:sz="4" w:space="0" w:color="auto"/>
              <w:right w:val="single" w:sz="4" w:space="0" w:color="auto"/>
            </w:tcBorders>
            <w:shd w:val="clear" w:color="auto" w:fill="auto"/>
            <w:noWrap/>
            <w:vAlign w:val="bottom"/>
            <w:hideMark/>
          </w:tcPr>
          <w:p w14:paraId="19F07AA0"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11.92%</w:t>
            </w:r>
          </w:p>
        </w:tc>
        <w:tc>
          <w:tcPr>
            <w:tcW w:w="1120" w:type="dxa"/>
            <w:tcBorders>
              <w:top w:val="nil"/>
              <w:left w:val="nil"/>
              <w:bottom w:val="single" w:sz="4" w:space="0" w:color="auto"/>
              <w:right w:val="single" w:sz="4" w:space="0" w:color="auto"/>
            </w:tcBorders>
            <w:shd w:val="clear" w:color="auto" w:fill="auto"/>
            <w:noWrap/>
            <w:vAlign w:val="bottom"/>
            <w:hideMark/>
          </w:tcPr>
          <w:p w14:paraId="399D1076"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 xml:space="preserve">5.08 </w:t>
            </w:r>
          </w:p>
        </w:tc>
        <w:tc>
          <w:tcPr>
            <w:tcW w:w="1120" w:type="dxa"/>
            <w:tcBorders>
              <w:top w:val="nil"/>
              <w:left w:val="nil"/>
              <w:bottom w:val="single" w:sz="4" w:space="0" w:color="auto"/>
              <w:right w:val="single" w:sz="4" w:space="0" w:color="auto"/>
            </w:tcBorders>
            <w:shd w:val="clear" w:color="auto" w:fill="auto"/>
            <w:noWrap/>
            <w:vAlign w:val="bottom"/>
            <w:hideMark/>
          </w:tcPr>
          <w:p w14:paraId="598D4B85"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36</w:t>
            </w:r>
          </w:p>
        </w:tc>
        <w:tc>
          <w:tcPr>
            <w:tcW w:w="1040" w:type="dxa"/>
            <w:tcBorders>
              <w:top w:val="nil"/>
              <w:left w:val="nil"/>
              <w:bottom w:val="single" w:sz="4" w:space="0" w:color="auto"/>
              <w:right w:val="single" w:sz="4" w:space="0" w:color="auto"/>
            </w:tcBorders>
            <w:shd w:val="clear" w:color="auto" w:fill="auto"/>
            <w:noWrap/>
            <w:vAlign w:val="bottom"/>
            <w:hideMark/>
          </w:tcPr>
          <w:p w14:paraId="1C970031"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17.2</w:t>
            </w:r>
          </w:p>
        </w:tc>
        <w:tc>
          <w:tcPr>
            <w:tcW w:w="1040" w:type="dxa"/>
            <w:tcBorders>
              <w:top w:val="nil"/>
              <w:left w:val="nil"/>
              <w:bottom w:val="single" w:sz="4" w:space="0" w:color="auto"/>
              <w:right w:val="single" w:sz="4" w:space="0" w:color="auto"/>
            </w:tcBorders>
            <w:shd w:val="clear" w:color="000000" w:fill="FFC7CE"/>
            <w:noWrap/>
            <w:vAlign w:val="bottom"/>
            <w:hideMark/>
          </w:tcPr>
          <w:p w14:paraId="67EF073A"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0.0068</w:t>
            </w:r>
          </w:p>
        </w:tc>
        <w:tc>
          <w:tcPr>
            <w:tcW w:w="920" w:type="dxa"/>
            <w:tcBorders>
              <w:top w:val="nil"/>
              <w:left w:val="nil"/>
              <w:bottom w:val="single" w:sz="4" w:space="0" w:color="auto"/>
              <w:right w:val="single" w:sz="4" w:space="0" w:color="auto"/>
            </w:tcBorders>
            <w:shd w:val="clear" w:color="auto" w:fill="auto"/>
            <w:noWrap/>
            <w:vAlign w:val="bottom"/>
            <w:hideMark/>
          </w:tcPr>
          <w:p w14:paraId="57F53B73"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8.88%</w:t>
            </w:r>
          </w:p>
        </w:tc>
        <w:tc>
          <w:tcPr>
            <w:tcW w:w="1040" w:type="dxa"/>
            <w:tcBorders>
              <w:top w:val="nil"/>
              <w:left w:val="nil"/>
              <w:bottom w:val="single" w:sz="4" w:space="0" w:color="auto"/>
              <w:right w:val="single" w:sz="4" w:space="0" w:color="auto"/>
            </w:tcBorders>
            <w:shd w:val="clear" w:color="auto" w:fill="auto"/>
            <w:noWrap/>
            <w:vAlign w:val="bottom"/>
            <w:hideMark/>
          </w:tcPr>
          <w:p w14:paraId="75F67C85"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63.9%</w:t>
            </w:r>
          </w:p>
        </w:tc>
        <w:tc>
          <w:tcPr>
            <w:tcW w:w="1040" w:type="dxa"/>
            <w:tcBorders>
              <w:top w:val="nil"/>
              <w:left w:val="nil"/>
              <w:bottom w:val="single" w:sz="4" w:space="0" w:color="auto"/>
              <w:right w:val="single" w:sz="4" w:space="0" w:color="auto"/>
            </w:tcBorders>
            <w:shd w:val="clear" w:color="auto" w:fill="auto"/>
            <w:noWrap/>
            <w:vAlign w:val="bottom"/>
            <w:hideMark/>
          </w:tcPr>
          <w:p w14:paraId="0C14010A"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 </w:t>
            </w:r>
          </w:p>
        </w:tc>
      </w:tr>
      <w:tr w:rsidR="00560DE3" w:rsidRPr="00560DE3" w14:paraId="373477C9" w14:textId="77777777" w:rsidTr="00560DE3">
        <w:trPr>
          <w:trHeight w:val="288"/>
        </w:trPr>
        <w:tc>
          <w:tcPr>
            <w:tcW w:w="1040" w:type="dxa"/>
            <w:tcBorders>
              <w:top w:val="nil"/>
              <w:left w:val="single" w:sz="4" w:space="0" w:color="auto"/>
              <w:bottom w:val="single" w:sz="4" w:space="0" w:color="auto"/>
              <w:right w:val="single" w:sz="4" w:space="0" w:color="auto"/>
            </w:tcBorders>
            <w:shd w:val="clear" w:color="000000" w:fill="FFC7CE"/>
            <w:noWrap/>
            <w:vAlign w:val="bottom"/>
            <w:hideMark/>
          </w:tcPr>
          <w:p w14:paraId="0DA72C88"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18</w:t>
            </w:r>
          </w:p>
        </w:tc>
        <w:tc>
          <w:tcPr>
            <w:tcW w:w="1040" w:type="dxa"/>
            <w:tcBorders>
              <w:top w:val="nil"/>
              <w:left w:val="nil"/>
              <w:bottom w:val="single" w:sz="4" w:space="0" w:color="auto"/>
              <w:right w:val="single" w:sz="4" w:space="0" w:color="auto"/>
            </w:tcBorders>
            <w:shd w:val="clear" w:color="auto" w:fill="auto"/>
            <w:noWrap/>
            <w:vAlign w:val="bottom"/>
            <w:hideMark/>
          </w:tcPr>
          <w:p w14:paraId="61641DC5"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7.81%</w:t>
            </w:r>
          </w:p>
        </w:tc>
        <w:tc>
          <w:tcPr>
            <w:tcW w:w="1120" w:type="dxa"/>
            <w:tcBorders>
              <w:top w:val="nil"/>
              <w:left w:val="nil"/>
              <w:bottom w:val="single" w:sz="4" w:space="0" w:color="auto"/>
              <w:right w:val="single" w:sz="4" w:space="0" w:color="auto"/>
            </w:tcBorders>
            <w:shd w:val="clear" w:color="auto" w:fill="auto"/>
            <w:noWrap/>
            <w:vAlign w:val="bottom"/>
            <w:hideMark/>
          </w:tcPr>
          <w:p w14:paraId="58D6E987"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 xml:space="preserve">10.19 </w:t>
            </w:r>
          </w:p>
        </w:tc>
        <w:tc>
          <w:tcPr>
            <w:tcW w:w="1120" w:type="dxa"/>
            <w:tcBorders>
              <w:top w:val="nil"/>
              <w:left w:val="nil"/>
              <w:bottom w:val="single" w:sz="4" w:space="0" w:color="auto"/>
              <w:right w:val="single" w:sz="4" w:space="0" w:color="auto"/>
            </w:tcBorders>
            <w:shd w:val="clear" w:color="auto" w:fill="auto"/>
            <w:noWrap/>
            <w:vAlign w:val="bottom"/>
            <w:hideMark/>
          </w:tcPr>
          <w:p w14:paraId="47C9CD83"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49</w:t>
            </w:r>
          </w:p>
        </w:tc>
        <w:tc>
          <w:tcPr>
            <w:tcW w:w="1040" w:type="dxa"/>
            <w:tcBorders>
              <w:top w:val="nil"/>
              <w:left w:val="nil"/>
              <w:bottom w:val="single" w:sz="4" w:space="0" w:color="auto"/>
              <w:right w:val="single" w:sz="4" w:space="0" w:color="auto"/>
            </w:tcBorders>
            <w:shd w:val="clear" w:color="auto" w:fill="auto"/>
            <w:noWrap/>
            <w:vAlign w:val="bottom"/>
            <w:hideMark/>
          </w:tcPr>
          <w:p w14:paraId="23DE02E4"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9.0</w:t>
            </w:r>
          </w:p>
        </w:tc>
        <w:tc>
          <w:tcPr>
            <w:tcW w:w="1040" w:type="dxa"/>
            <w:tcBorders>
              <w:top w:val="nil"/>
              <w:left w:val="nil"/>
              <w:bottom w:val="single" w:sz="4" w:space="0" w:color="auto"/>
              <w:right w:val="single" w:sz="4" w:space="0" w:color="auto"/>
            </w:tcBorders>
            <w:shd w:val="clear" w:color="000000" w:fill="FFC7CE"/>
            <w:noWrap/>
            <w:vAlign w:val="bottom"/>
            <w:hideMark/>
          </w:tcPr>
          <w:p w14:paraId="1721B8AD"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0.0000</w:t>
            </w:r>
          </w:p>
        </w:tc>
        <w:tc>
          <w:tcPr>
            <w:tcW w:w="920" w:type="dxa"/>
            <w:tcBorders>
              <w:top w:val="nil"/>
              <w:left w:val="nil"/>
              <w:bottom w:val="single" w:sz="4" w:space="0" w:color="auto"/>
              <w:right w:val="single" w:sz="4" w:space="0" w:color="auto"/>
            </w:tcBorders>
            <w:shd w:val="clear" w:color="auto" w:fill="auto"/>
            <w:noWrap/>
            <w:vAlign w:val="bottom"/>
            <w:hideMark/>
          </w:tcPr>
          <w:p w14:paraId="03B68225"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5.61%</w:t>
            </w:r>
          </w:p>
        </w:tc>
        <w:tc>
          <w:tcPr>
            <w:tcW w:w="1040" w:type="dxa"/>
            <w:tcBorders>
              <w:top w:val="nil"/>
              <w:left w:val="nil"/>
              <w:bottom w:val="single" w:sz="4" w:space="0" w:color="auto"/>
              <w:right w:val="single" w:sz="4" w:space="0" w:color="auto"/>
            </w:tcBorders>
            <w:shd w:val="clear" w:color="auto" w:fill="auto"/>
            <w:noWrap/>
            <w:vAlign w:val="bottom"/>
            <w:hideMark/>
          </w:tcPr>
          <w:p w14:paraId="0BAB68E3"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81.6%</w:t>
            </w:r>
          </w:p>
        </w:tc>
        <w:tc>
          <w:tcPr>
            <w:tcW w:w="1040" w:type="dxa"/>
            <w:tcBorders>
              <w:top w:val="nil"/>
              <w:left w:val="nil"/>
              <w:bottom w:val="single" w:sz="4" w:space="0" w:color="auto"/>
              <w:right w:val="single" w:sz="4" w:space="0" w:color="auto"/>
            </w:tcBorders>
            <w:shd w:val="clear" w:color="auto" w:fill="auto"/>
            <w:noWrap/>
            <w:vAlign w:val="bottom"/>
            <w:hideMark/>
          </w:tcPr>
          <w:p w14:paraId="49E37CB8"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 </w:t>
            </w:r>
          </w:p>
        </w:tc>
      </w:tr>
      <w:tr w:rsidR="00560DE3" w:rsidRPr="00560DE3" w14:paraId="2480569E" w14:textId="77777777" w:rsidTr="00560DE3">
        <w:trPr>
          <w:trHeight w:val="288"/>
        </w:trPr>
        <w:tc>
          <w:tcPr>
            <w:tcW w:w="1040" w:type="dxa"/>
            <w:tcBorders>
              <w:top w:val="nil"/>
              <w:left w:val="single" w:sz="4" w:space="0" w:color="auto"/>
              <w:bottom w:val="single" w:sz="4" w:space="0" w:color="auto"/>
              <w:right w:val="single" w:sz="4" w:space="0" w:color="auto"/>
            </w:tcBorders>
            <w:shd w:val="clear" w:color="000000" w:fill="FFC7CE"/>
            <w:noWrap/>
            <w:vAlign w:val="bottom"/>
            <w:hideMark/>
          </w:tcPr>
          <w:p w14:paraId="72E424CC"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19</w:t>
            </w:r>
          </w:p>
        </w:tc>
        <w:tc>
          <w:tcPr>
            <w:tcW w:w="1040" w:type="dxa"/>
            <w:tcBorders>
              <w:top w:val="nil"/>
              <w:left w:val="nil"/>
              <w:bottom w:val="single" w:sz="4" w:space="0" w:color="auto"/>
              <w:right w:val="single" w:sz="4" w:space="0" w:color="auto"/>
            </w:tcBorders>
            <w:shd w:val="clear" w:color="auto" w:fill="auto"/>
            <w:noWrap/>
            <w:vAlign w:val="bottom"/>
            <w:hideMark/>
          </w:tcPr>
          <w:p w14:paraId="35648A97"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10.06%</w:t>
            </w:r>
          </w:p>
        </w:tc>
        <w:tc>
          <w:tcPr>
            <w:tcW w:w="1120" w:type="dxa"/>
            <w:tcBorders>
              <w:top w:val="nil"/>
              <w:left w:val="nil"/>
              <w:bottom w:val="single" w:sz="4" w:space="0" w:color="auto"/>
              <w:right w:val="single" w:sz="4" w:space="0" w:color="auto"/>
            </w:tcBorders>
            <w:shd w:val="clear" w:color="auto" w:fill="auto"/>
            <w:noWrap/>
            <w:vAlign w:val="bottom"/>
            <w:hideMark/>
          </w:tcPr>
          <w:p w14:paraId="6D258CA8"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 xml:space="preserve">8.94 </w:t>
            </w:r>
          </w:p>
        </w:tc>
        <w:tc>
          <w:tcPr>
            <w:tcW w:w="1120" w:type="dxa"/>
            <w:tcBorders>
              <w:top w:val="nil"/>
              <w:left w:val="nil"/>
              <w:bottom w:val="single" w:sz="4" w:space="0" w:color="auto"/>
              <w:right w:val="single" w:sz="4" w:space="0" w:color="auto"/>
            </w:tcBorders>
            <w:shd w:val="clear" w:color="auto" w:fill="auto"/>
            <w:noWrap/>
            <w:vAlign w:val="bottom"/>
            <w:hideMark/>
          </w:tcPr>
          <w:p w14:paraId="54920603"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26</w:t>
            </w:r>
          </w:p>
        </w:tc>
        <w:tc>
          <w:tcPr>
            <w:tcW w:w="1040" w:type="dxa"/>
            <w:tcBorders>
              <w:top w:val="nil"/>
              <w:left w:val="nil"/>
              <w:bottom w:val="single" w:sz="4" w:space="0" w:color="auto"/>
              <w:right w:val="single" w:sz="4" w:space="0" w:color="auto"/>
            </w:tcBorders>
            <w:shd w:val="clear" w:color="auto" w:fill="auto"/>
            <w:noWrap/>
            <w:vAlign w:val="bottom"/>
            <w:hideMark/>
          </w:tcPr>
          <w:p w14:paraId="00FD7A09"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7.0</w:t>
            </w:r>
          </w:p>
        </w:tc>
        <w:tc>
          <w:tcPr>
            <w:tcW w:w="1040" w:type="dxa"/>
            <w:tcBorders>
              <w:top w:val="nil"/>
              <w:left w:val="nil"/>
              <w:bottom w:val="single" w:sz="4" w:space="0" w:color="auto"/>
              <w:right w:val="single" w:sz="4" w:space="0" w:color="auto"/>
            </w:tcBorders>
            <w:shd w:val="clear" w:color="000000" w:fill="FFC7CE"/>
            <w:noWrap/>
            <w:vAlign w:val="bottom"/>
            <w:hideMark/>
          </w:tcPr>
          <w:p w14:paraId="173F4FB0"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0.0002</w:t>
            </w:r>
          </w:p>
        </w:tc>
        <w:tc>
          <w:tcPr>
            <w:tcW w:w="920" w:type="dxa"/>
            <w:tcBorders>
              <w:top w:val="nil"/>
              <w:left w:val="nil"/>
              <w:bottom w:val="single" w:sz="4" w:space="0" w:color="auto"/>
              <w:right w:val="single" w:sz="4" w:space="0" w:color="auto"/>
            </w:tcBorders>
            <w:shd w:val="clear" w:color="auto" w:fill="auto"/>
            <w:noWrap/>
            <w:vAlign w:val="bottom"/>
            <w:hideMark/>
          </w:tcPr>
          <w:p w14:paraId="72E0D10D"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8.66%</w:t>
            </w:r>
          </w:p>
        </w:tc>
        <w:tc>
          <w:tcPr>
            <w:tcW w:w="1040" w:type="dxa"/>
            <w:tcBorders>
              <w:top w:val="nil"/>
              <w:left w:val="nil"/>
              <w:bottom w:val="single" w:sz="4" w:space="0" w:color="auto"/>
              <w:right w:val="single" w:sz="4" w:space="0" w:color="auto"/>
            </w:tcBorders>
            <w:shd w:val="clear" w:color="auto" w:fill="auto"/>
            <w:noWrap/>
            <w:vAlign w:val="bottom"/>
            <w:hideMark/>
          </w:tcPr>
          <w:p w14:paraId="35C0DB51"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65.4%</w:t>
            </w:r>
          </w:p>
        </w:tc>
        <w:tc>
          <w:tcPr>
            <w:tcW w:w="1040" w:type="dxa"/>
            <w:tcBorders>
              <w:top w:val="nil"/>
              <w:left w:val="nil"/>
              <w:bottom w:val="single" w:sz="4" w:space="0" w:color="auto"/>
              <w:right w:val="single" w:sz="4" w:space="0" w:color="auto"/>
            </w:tcBorders>
            <w:shd w:val="clear" w:color="auto" w:fill="auto"/>
            <w:noWrap/>
            <w:vAlign w:val="bottom"/>
            <w:hideMark/>
          </w:tcPr>
          <w:p w14:paraId="42AA90C3"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 </w:t>
            </w:r>
          </w:p>
        </w:tc>
      </w:tr>
      <w:tr w:rsidR="00560DE3" w:rsidRPr="00560DE3" w14:paraId="0013943F" w14:textId="77777777" w:rsidTr="00560DE3">
        <w:trPr>
          <w:trHeight w:val="288"/>
        </w:trPr>
        <w:tc>
          <w:tcPr>
            <w:tcW w:w="1040" w:type="dxa"/>
            <w:tcBorders>
              <w:top w:val="nil"/>
              <w:left w:val="single" w:sz="4" w:space="0" w:color="auto"/>
              <w:bottom w:val="single" w:sz="4" w:space="0" w:color="auto"/>
              <w:right w:val="single" w:sz="4" w:space="0" w:color="auto"/>
            </w:tcBorders>
            <w:shd w:val="clear" w:color="000000" w:fill="FFC7CE"/>
            <w:noWrap/>
            <w:vAlign w:val="bottom"/>
            <w:hideMark/>
          </w:tcPr>
          <w:p w14:paraId="6A87B3B4"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20</w:t>
            </w:r>
          </w:p>
        </w:tc>
        <w:tc>
          <w:tcPr>
            <w:tcW w:w="1040" w:type="dxa"/>
            <w:tcBorders>
              <w:top w:val="nil"/>
              <w:left w:val="nil"/>
              <w:bottom w:val="single" w:sz="4" w:space="0" w:color="auto"/>
              <w:right w:val="single" w:sz="4" w:space="0" w:color="auto"/>
            </w:tcBorders>
            <w:shd w:val="clear" w:color="auto" w:fill="auto"/>
            <w:noWrap/>
            <w:vAlign w:val="bottom"/>
            <w:hideMark/>
          </w:tcPr>
          <w:p w14:paraId="7305E517"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7.71%</w:t>
            </w:r>
          </w:p>
        </w:tc>
        <w:tc>
          <w:tcPr>
            <w:tcW w:w="1120" w:type="dxa"/>
            <w:tcBorders>
              <w:top w:val="nil"/>
              <w:left w:val="nil"/>
              <w:bottom w:val="single" w:sz="4" w:space="0" w:color="auto"/>
              <w:right w:val="single" w:sz="4" w:space="0" w:color="auto"/>
            </w:tcBorders>
            <w:shd w:val="clear" w:color="auto" w:fill="auto"/>
            <w:noWrap/>
            <w:vAlign w:val="bottom"/>
            <w:hideMark/>
          </w:tcPr>
          <w:p w14:paraId="4432A85A"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 xml:space="preserve">12.29 </w:t>
            </w:r>
          </w:p>
        </w:tc>
        <w:tc>
          <w:tcPr>
            <w:tcW w:w="1120" w:type="dxa"/>
            <w:tcBorders>
              <w:top w:val="nil"/>
              <w:left w:val="nil"/>
              <w:bottom w:val="single" w:sz="4" w:space="0" w:color="auto"/>
              <w:right w:val="single" w:sz="4" w:space="0" w:color="auto"/>
            </w:tcBorders>
            <w:shd w:val="clear" w:color="auto" w:fill="auto"/>
            <w:noWrap/>
            <w:vAlign w:val="bottom"/>
            <w:hideMark/>
          </w:tcPr>
          <w:p w14:paraId="66716E6B"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75</w:t>
            </w:r>
          </w:p>
        </w:tc>
        <w:tc>
          <w:tcPr>
            <w:tcW w:w="1040" w:type="dxa"/>
            <w:tcBorders>
              <w:top w:val="nil"/>
              <w:left w:val="nil"/>
              <w:bottom w:val="single" w:sz="4" w:space="0" w:color="auto"/>
              <w:right w:val="single" w:sz="4" w:space="0" w:color="auto"/>
            </w:tcBorders>
            <w:shd w:val="clear" w:color="auto" w:fill="auto"/>
            <w:noWrap/>
            <w:vAlign w:val="bottom"/>
            <w:hideMark/>
          </w:tcPr>
          <w:p w14:paraId="28A5E407"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11.0</w:t>
            </w:r>
          </w:p>
        </w:tc>
        <w:tc>
          <w:tcPr>
            <w:tcW w:w="1040" w:type="dxa"/>
            <w:tcBorders>
              <w:top w:val="nil"/>
              <w:left w:val="nil"/>
              <w:bottom w:val="single" w:sz="4" w:space="0" w:color="auto"/>
              <w:right w:val="single" w:sz="4" w:space="0" w:color="auto"/>
            </w:tcBorders>
            <w:shd w:val="clear" w:color="000000" w:fill="FFC7CE"/>
            <w:noWrap/>
            <w:vAlign w:val="bottom"/>
            <w:hideMark/>
          </w:tcPr>
          <w:p w14:paraId="7F299C42"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0.0000</w:t>
            </w:r>
          </w:p>
        </w:tc>
        <w:tc>
          <w:tcPr>
            <w:tcW w:w="920" w:type="dxa"/>
            <w:tcBorders>
              <w:top w:val="nil"/>
              <w:left w:val="nil"/>
              <w:bottom w:val="single" w:sz="4" w:space="0" w:color="auto"/>
              <w:right w:val="single" w:sz="4" w:space="0" w:color="auto"/>
            </w:tcBorders>
            <w:shd w:val="clear" w:color="auto" w:fill="auto"/>
            <w:noWrap/>
            <w:vAlign w:val="bottom"/>
            <w:hideMark/>
          </w:tcPr>
          <w:p w14:paraId="7A5C8742"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5.55%</w:t>
            </w:r>
          </w:p>
        </w:tc>
        <w:tc>
          <w:tcPr>
            <w:tcW w:w="1040" w:type="dxa"/>
            <w:tcBorders>
              <w:top w:val="nil"/>
              <w:left w:val="nil"/>
              <w:bottom w:val="single" w:sz="4" w:space="0" w:color="auto"/>
              <w:right w:val="single" w:sz="4" w:space="0" w:color="auto"/>
            </w:tcBorders>
            <w:shd w:val="clear" w:color="auto" w:fill="auto"/>
            <w:noWrap/>
            <w:vAlign w:val="bottom"/>
            <w:hideMark/>
          </w:tcPr>
          <w:p w14:paraId="4ABDF5C6"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85.3%</w:t>
            </w:r>
          </w:p>
        </w:tc>
        <w:tc>
          <w:tcPr>
            <w:tcW w:w="1040" w:type="dxa"/>
            <w:tcBorders>
              <w:top w:val="nil"/>
              <w:left w:val="nil"/>
              <w:bottom w:val="single" w:sz="4" w:space="0" w:color="auto"/>
              <w:right w:val="single" w:sz="4" w:space="0" w:color="auto"/>
            </w:tcBorders>
            <w:shd w:val="clear" w:color="auto" w:fill="auto"/>
            <w:noWrap/>
            <w:vAlign w:val="bottom"/>
            <w:hideMark/>
          </w:tcPr>
          <w:p w14:paraId="748A7E13"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 </w:t>
            </w:r>
          </w:p>
        </w:tc>
      </w:tr>
      <w:tr w:rsidR="00560DE3" w:rsidRPr="00560DE3" w14:paraId="0E84082C" w14:textId="77777777" w:rsidTr="00560DE3">
        <w:trPr>
          <w:trHeight w:val="288"/>
        </w:trPr>
        <w:tc>
          <w:tcPr>
            <w:tcW w:w="1040" w:type="dxa"/>
            <w:tcBorders>
              <w:top w:val="nil"/>
              <w:left w:val="single" w:sz="4" w:space="0" w:color="auto"/>
              <w:bottom w:val="single" w:sz="4" w:space="0" w:color="auto"/>
              <w:right w:val="single" w:sz="4" w:space="0" w:color="auto"/>
            </w:tcBorders>
            <w:shd w:val="clear" w:color="000000" w:fill="FFC7CE"/>
            <w:noWrap/>
            <w:vAlign w:val="bottom"/>
            <w:hideMark/>
          </w:tcPr>
          <w:p w14:paraId="0A2AD363"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21+</w:t>
            </w:r>
          </w:p>
        </w:tc>
        <w:tc>
          <w:tcPr>
            <w:tcW w:w="1040" w:type="dxa"/>
            <w:tcBorders>
              <w:top w:val="nil"/>
              <w:left w:val="nil"/>
              <w:bottom w:val="single" w:sz="4" w:space="0" w:color="auto"/>
              <w:right w:val="single" w:sz="4" w:space="0" w:color="auto"/>
            </w:tcBorders>
            <w:shd w:val="clear" w:color="auto" w:fill="auto"/>
            <w:noWrap/>
            <w:vAlign w:val="bottom"/>
            <w:hideMark/>
          </w:tcPr>
          <w:p w14:paraId="27FC2DAC"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12.21%</w:t>
            </w:r>
          </w:p>
        </w:tc>
        <w:tc>
          <w:tcPr>
            <w:tcW w:w="1120" w:type="dxa"/>
            <w:tcBorders>
              <w:top w:val="nil"/>
              <w:left w:val="nil"/>
              <w:bottom w:val="single" w:sz="4" w:space="0" w:color="auto"/>
              <w:right w:val="single" w:sz="4" w:space="0" w:color="auto"/>
            </w:tcBorders>
            <w:shd w:val="clear" w:color="auto" w:fill="auto"/>
            <w:noWrap/>
            <w:vAlign w:val="bottom"/>
            <w:hideMark/>
          </w:tcPr>
          <w:p w14:paraId="1070E32B" w14:textId="77777777" w:rsidR="00560DE3" w:rsidRPr="00560DE3" w:rsidRDefault="00560DE3" w:rsidP="00560DE3">
            <w:pPr>
              <w:spacing w:line="240" w:lineRule="auto"/>
              <w:ind w:firstLine="0"/>
              <w:jc w:val="center"/>
              <w:rPr>
                <w:rFonts w:ascii="Calibri" w:eastAsia="Times New Roman" w:hAnsi="Calibri" w:cs="Calibri"/>
                <w:b/>
                <w:bCs/>
                <w:color w:val="000000"/>
                <w:sz w:val="22"/>
                <w:szCs w:val="22"/>
                <w:lang w:eastAsia="en-US"/>
              </w:rPr>
            </w:pPr>
            <w:r w:rsidRPr="00560DE3">
              <w:rPr>
                <w:rFonts w:ascii="Calibri" w:eastAsia="Times New Roman" w:hAnsi="Calibri" w:cs="Calibri"/>
                <w:b/>
                <w:bCs/>
                <w:color w:val="000000"/>
                <w:sz w:val="22"/>
                <w:szCs w:val="22"/>
                <w:lang w:eastAsia="en-US"/>
              </w:rPr>
              <w:t xml:space="preserve">8.79 </w:t>
            </w:r>
          </w:p>
        </w:tc>
        <w:tc>
          <w:tcPr>
            <w:tcW w:w="1120" w:type="dxa"/>
            <w:tcBorders>
              <w:top w:val="nil"/>
              <w:left w:val="nil"/>
              <w:bottom w:val="single" w:sz="4" w:space="0" w:color="auto"/>
              <w:right w:val="single" w:sz="4" w:space="0" w:color="auto"/>
            </w:tcBorders>
            <w:shd w:val="clear" w:color="auto" w:fill="auto"/>
            <w:noWrap/>
            <w:vAlign w:val="bottom"/>
            <w:hideMark/>
          </w:tcPr>
          <w:p w14:paraId="55C7950D"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43</w:t>
            </w:r>
          </w:p>
        </w:tc>
        <w:tc>
          <w:tcPr>
            <w:tcW w:w="1040" w:type="dxa"/>
            <w:tcBorders>
              <w:top w:val="nil"/>
              <w:left w:val="nil"/>
              <w:bottom w:val="single" w:sz="4" w:space="0" w:color="auto"/>
              <w:right w:val="single" w:sz="4" w:space="0" w:color="auto"/>
            </w:tcBorders>
            <w:shd w:val="clear" w:color="auto" w:fill="auto"/>
            <w:noWrap/>
            <w:vAlign w:val="bottom"/>
            <w:hideMark/>
          </w:tcPr>
          <w:p w14:paraId="64AE08E9"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13.5</w:t>
            </w:r>
          </w:p>
        </w:tc>
        <w:tc>
          <w:tcPr>
            <w:tcW w:w="1040" w:type="dxa"/>
            <w:tcBorders>
              <w:top w:val="nil"/>
              <w:left w:val="nil"/>
              <w:bottom w:val="single" w:sz="4" w:space="0" w:color="auto"/>
              <w:right w:val="single" w:sz="4" w:space="0" w:color="auto"/>
            </w:tcBorders>
            <w:shd w:val="clear" w:color="000000" w:fill="FFC7CE"/>
            <w:noWrap/>
            <w:vAlign w:val="bottom"/>
            <w:hideMark/>
          </w:tcPr>
          <w:p w14:paraId="0398AFC9" w14:textId="77777777" w:rsidR="00560DE3" w:rsidRPr="00560DE3" w:rsidRDefault="00560DE3" w:rsidP="00560DE3">
            <w:pPr>
              <w:spacing w:line="240" w:lineRule="auto"/>
              <w:ind w:firstLine="0"/>
              <w:jc w:val="center"/>
              <w:rPr>
                <w:rFonts w:ascii="Calibri" w:eastAsia="Times New Roman" w:hAnsi="Calibri" w:cs="Calibri"/>
                <w:color w:val="9C0006"/>
                <w:sz w:val="22"/>
                <w:szCs w:val="22"/>
                <w:lang w:eastAsia="en-US"/>
              </w:rPr>
            </w:pPr>
            <w:r w:rsidRPr="00560DE3">
              <w:rPr>
                <w:rFonts w:ascii="Calibri" w:eastAsia="Times New Roman" w:hAnsi="Calibri" w:cs="Calibri"/>
                <w:color w:val="9C0006"/>
                <w:sz w:val="22"/>
                <w:szCs w:val="22"/>
                <w:lang w:eastAsia="en-US"/>
              </w:rPr>
              <w:t>0.0000</w:t>
            </w:r>
          </w:p>
        </w:tc>
        <w:tc>
          <w:tcPr>
            <w:tcW w:w="920" w:type="dxa"/>
            <w:tcBorders>
              <w:top w:val="nil"/>
              <w:left w:val="nil"/>
              <w:bottom w:val="single" w:sz="4" w:space="0" w:color="auto"/>
              <w:right w:val="single" w:sz="4" w:space="0" w:color="auto"/>
            </w:tcBorders>
            <w:shd w:val="clear" w:color="auto" w:fill="auto"/>
            <w:noWrap/>
            <w:vAlign w:val="bottom"/>
            <w:hideMark/>
          </w:tcPr>
          <w:p w14:paraId="139C5D08"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8.36%</w:t>
            </w:r>
          </w:p>
        </w:tc>
        <w:tc>
          <w:tcPr>
            <w:tcW w:w="1040" w:type="dxa"/>
            <w:tcBorders>
              <w:top w:val="nil"/>
              <w:left w:val="nil"/>
              <w:bottom w:val="single" w:sz="4" w:space="0" w:color="auto"/>
              <w:right w:val="single" w:sz="4" w:space="0" w:color="auto"/>
            </w:tcBorders>
            <w:shd w:val="clear" w:color="auto" w:fill="auto"/>
            <w:noWrap/>
            <w:vAlign w:val="bottom"/>
            <w:hideMark/>
          </w:tcPr>
          <w:p w14:paraId="70A9B96B"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76.7%</w:t>
            </w:r>
          </w:p>
        </w:tc>
        <w:tc>
          <w:tcPr>
            <w:tcW w:w="1040" w:type="dxa"/>
            <w:tcBorders>
              <w:top w:val="nil"/>
              <w:left w:val="nil"/>
              <w:bottom w:val="single" w:sz="4" w:space="0" w:color="auto"/>
              <w:right w:val="single" w:sz="4" w:space="0" w:color="auto"/>
            </w:tcBorders>
            <w:shd w:val="clear" w:color="auto" w:fill="auto"/>
            <w:noWrap/>
            <w:vAlign w:val="bottom"/>
            <w:hideMark/>
          </w:tcPr>
          <w:p w14:paraId="3A3B42F2" w14:textId="77777777" w:rsidR="00560DE3" w:rsidRPr="00560DE3" w:rsidRDefault="00560DE3" w:rsidP="00560DE3">
            <w:pPr>
              <w:spacing w:line="240" w:lineRule="auto"/>
              <w:ind w:firstLine="0"/>
              <w:jc w:val="center"/>
              <w:rPr>
                <w:rFonts w:ascii="Calibri" w:eastAsia="Times New Roman" w:hAnsi="Calibri" w:cs="Calibri"/>
                <w:color w:val="000000"/>
                <w:sz w:val="22"/>
                <w:szCs w:val="22"/>
                <w:lang w:eastAsia="en-US"/>
              </w:rPr>
            </w:pPr>
            <w:r w:rsidRPr="00560DE3">
              <w:rPr>
                <w:rFonts w:ascii="Calibri" w:eastAsia="Times New Roman" w:hAnsi="Calibri" w:cs="Calibri"/>
                <w:color w:val="000000"/>
                <w:sz w:val="22"/>
                <w:szCs w:val="22"/>
                <w:lang w:eastAsia="en-US"/>
              </w:rPr>
              <w:t> </w:t>
            </w:r>
          </w:p>
        </w:tc>
      </w:tr>
    </w:tbl>
    <w:p w14:paraId="7C497B3B" w14:textId="286C8918" w:rsidR="000875AC" w:rsidRDefault="00571CC3" w:rsidP="000875AC">
      <w:pPr>
        <w:pStyle w:val="TableFigure"/>
        <w:spacing w:line="240" w:lineRule="auto"/>
        <w:rPr>
          <w:rFonts w:asciiTheme="majorHAnsi" w:hAnsiTheme="majorHAnsi" w:cstheme="majorHAnsi"/>
          <w:b/>
        </w:rPr>
      </w:pPr>
      <w:bookmarkStart w:id="18" w:name="_Hlk71008238"/>
      <w:r>
        <w:rPr>
          <w:rFonts w:asciiTheme="majorHAnsi" w:hAnsiTheme="majorHAnsi" w:cstheme="majorHAnsi"/>
          <w:b/>
        </w:rPr>
        <w:tab/>
      </w:r>
    </w:p>
    <w:tbl>
      <w:tblPr>
        <w:tblStyle w:val="TableGrid"/>
        <w:tblpPr w:leftFromText="180" w:rightFromText="180" w:vertAnchor="text" w:horzAnchor="page" w:tblpX="2029" w:tblpY="76"/>
        <w:tblW w:w="0" w:type="auto"/>
        <w:tblLook w:val="04A0" w:firstRow="1" w:lastRow="0" w:firstColumn="1" w:lastColumn="0" w:noHBand="0" w:noVBand="1"/>
      </w:tblPr>
      <w:tblGrid>
        <w:gridCol w:w="630"/>
        <w:gridCol w:w="6570"/>
      </w:tblGrid>
      <w:tr w:rsidR="003E0205" w14:paraId="783476BA" w14:textId="77777777" w:rsidTr="006B655A">
        <w:tc>
          <w:tcPr>
            <w:tcW w:w="630" w:type="dxa"/>
            <w:shd w:val="clear" w:color="auto" w:fill="FFE38B"/>
            <w:vAlign w:val="bottom"/>
          </w:tcPr>
          <w:bookmarkEnd w:id="17"/>
          <w:bookmarkEnd w:id="18"/>
          <w:p w14:paraId="2FE1B432" w14:textId="14A16BC3" w:rsidR="003E0205" w:rsidRDefault="003E0205" w:rsidP="003E0205">
            <w:pPr>
              <w:ind w:firstLine="0"/>
              <w:rPr>
                <w:rFonts w:asciiTheme="majorHAnsi" w:eastAsia="Times New Roman" w:hAnsiTheme="majorHAnsi" w:cstheme="majorHAnsi"/>
                <w:color w:val="auto"/>
                <w:lang w:eastAsia="en-US"/>
              </w:rPr>
            </w:pPr>
            <w:r>
              <w:rPr>
                <w:rFonts w:asciiTheme="majorHAnsi" w:eastAsia="Times New Roman" w:hAnsiTheme="majorHAnsi" w:cstheme="majorHAnsi"/>
                <w:color w:val="000000"/>
                <w:sz w:val="22"/>
                <w:szCs w:val="22"/>
                <w:lang w:eastAsia="en-US"/>
              </w:rPr>
              <w:t xml:space="preserve"> </w:t>
            </w:r>
          </w:p>
        </w:tc>
        <w:tc>
          <w:tcPr>
            <w:tcW w:w="6570" w:type="dxa"/>
          </w:tcPr>
          <w:p w14:paraId="00CA9EA3" w14:textId="34DD2CDE" w:rsidR="003E0205" w:rsidRDefault="003E0205" w:rsidP="003E0205">
            <w:pPr>
              <w:ind w:firstLine="0"/>
              <w:rPr>
                <w:rFonts w:asciiTheme="majorHAnsi" w:eastAsia="Times New Roman" w:hAnsiTheme="majorHAnsi" w:cstheme="majorHAnsi"/>
                <w:color w:val="auto"/>
                <w:lang w:eastAsia="en-US"/>
              </w:rPr>
            </w:pPr>
            <w:r>
              <w:rPr>
                <w:rFonts w:asciiTheme="majorHAnsi" w:eastAsia="Times New Roman" w:hAnsiTheme="majorHAnsi" w:cstheme="majorHAnsi"/>
                <w:color w:val="auto"/>
                <w:lang w:eastAsia="en-US"/>
              </w:rPr>
              <w:t>Statistically Significantly Underreported Vendor-Reported FSDs</w:t>
            </w:r>
          </w:p>
        </w:tc>
      </w:tr>
      <w:tr w:rsidR="003E0205" w14:paraId="4B8FF5D2" w14:textId="77777777" w:rsidTr="003E0205">
        <w:tc>
          <w:tcPr>
            <w:tcW w:w="630" w:type="dxa"/>
            <w:shd w:val="clear" w:color="auto" w:fill="92D050"/>
            <w:vAlign w:val="bottom"/>
          </w:tcPr>
          <w:p w14:paraId="0FBBC186" w14:textId="77777777" w:rsidR="003E0205" w:rsidRDefault="003E0205" w:rsidP="003E0205">
            <w:pPr>
              <w:ind w:firstLine="0"/>
              <w:rPr>
                <w:rFonts w:asciiTheme="majorHAnsi" w:eastAsia="Times New Roman" w:hAnsiTheme="majorHAnsi" w:cstheme="majorHAnsi"/>
                <w:color w:val="auto"/>
                <w:lang w:eastAsia="en-US"/>
              </w:rPr>
            </w:pPr>
          </w:p>
        </w:tc>
        <w:tc>
          <w:tcPr>
            <w:tcW w:w="6570" w:type="dxa"/>
          </w:tcPr>
          <w:p w14:paraId="30FBEBC0" w14:textId="505598D7" w:rsidR="003E0205" w:rsidRDefault="003E0205" w:rsidP="003E0205">
            <w:pPr>
              <w:ind w:firstLine="0"/>
              <w:rPr>
                <w:rFonts w:asciiTheme="majorHAnsi" w:eastAsia="Times New Roman" w:hAnsiTheme="majorHAnsi" w:cstheme="majorHAnsi"/>
                <w:color w:val="auto"/>
                <w:lang w:eastAsia="en-US"/>
              </w:rPr>
            </w:pPr>
            <w:r>
              <w:rPr>
                <w:rFonts w:asciiTheme="majorHAnsi" w:eastAsia="Times New Roman" w:hAnsiTheme="majorHAnsi" w:cstheme="majorHAnsi"/>
                <w:color w:val="auto"/>
                <w:lang w:eastAsia="en-US"/>
              </w:rPr>
              <w:t>Statistically Accurate Vendor-Reported FSDs (α = 0.01)</w:t>
            </w:r>
          </w:p>
        </w:tc>
      </w:tr>
      <w:tr w:rsidR="003E0205" w14:paraId="377784D4" w14:textId="77777777" w:rsidTr="00560DE3">
        <w:tc>
          <w:tcPr>
            <w:tcW w:w="630" w:type="dxa"/>
            <w:shd w:val="clear" w:color="auto" w:fill="FFC7CE"/>
            <w:vAlign w:val="bottom"/>
          </w:tcPr>
          <w:p w14:paraId="6CD667A8" w14:textId="418CF068" w:rsidR="003E0205" w:rsidRDefault="003E0205" w:rsidP="003E0205">
            <w:pPr>
              <w:ind w:firstLine="0"/>
              <w:rPr>
                <w:rFonts w:asciiTheme="majorHAnsi" w:eastAsia="Times New Roman" w:hAnsiTheme="majorHAnsi" w:cstheme="majorHAnsi"/>
                <w:color w:val="auto"/>
                <w:lang w:eastAsia="en-US"/>
              </w:rPr>
            </w:pPr>
          </w:p>
        </w:tc>
        <w:tc>
          <w:tcPr>
            <w:tcW w:w="6570" w:type="dxa"/>
          </w:tcPr>
          <w:p w14:paraId="78538739" w14:textId="3C8BC38F" w:rsidR="003E0205" w:rsidRDefault="003E0205" w:rsidP="003E0205">
            <w:pPr>
              <w:ind w:firstLine="0"/>
              <w:rPr>
                <w:rFonts w:asciiTheme="majorHAnsi" w:eastAsia="Times New Roman" w:hAnsiTheme="majorHAnsi" w:cstheme="majorHAnsi"/>
                <w:color w:val="auto"/>
                <w:lang w:eastAsia="en-US"/>
              </w:rPr>
            </w:pPr>
            <w:r>
              <w:rPr>
                <w:rFonts w:asciiTheme="majorHAnsi" w:eastAsia="Times New Roman" w:hAnsiTheme="majorHAnsi" w:cstheme="majorHAnsi"/>
                <w:color w:val="auto"/>
                <w:lang w:eastAsia="en-US"/>
              </w:rPr>
              <w:t>Statistically Significantly Overreported Vendor-Reported FSDs.</w:t>
            </w:r>
          </w:p>
        </w:tc>
      </w:tr>
    </w:tbl>
    <w:p w14:paraId="315AB0E9" w14:textId="77777777" w:rsidR="00571CC3" w:rsidRDefault="00571CC3" w:rsidP="00571CC3">
      <w:pPr>
        <w:rPr>
          <w:rFonts w:asciiTheme="majorHAnsi" w:eastAsia="Times New Roman" w:hAnsiTheme="majorHAnsi" w:cstheme="majorHAnsi"/>
          <w:color w:val="auto"/>
          <w:lang w:eastAsia="en-US"/>
        </w:rPr>
      </w:pPr>
      <w:r>
        <w:rPr>
          <w:rFonts w:ascii="Times New Roman" w:hAnsi="Times New Roman" w:cs="Times New Roman"/>
          <w:b/>
        </w:rPr>
        <w:tab/>
      </w:r>
    </w:p>
    <w:p w14:paraId="190C139C" w14:textId="77777777" w:rsidR="00571CC3" w:rsidRDefault="00571CC3" w:rsidP="00571CC3">
      <w:pPr>
        <w:rPr>
          <w:rFonts w:asciiTheme="majorHAnsi" w:eastAsia="Times New Roman" w:hAnsiTheme="majorHAnsi" w:cstheme="majorHAnsi"/>
          <w:color w:val="auto"/>
          <w:lang w:eastAsia="en-US"/>
        </w:rPr>
      </w:pPr>
      <w:r>
        <w:rPr>
          <w:rFonts w:asciiTheme="majorHAnsi" w:eastAsia="Times New Roman" w:hAnsiTheme="majorHAnsi" w:cstheme="majorHAnsi"/>
          <w:color w:val="auto"/>
          <w:lang w:eastAsia="en-US"/>
        </w:rPr>
        <w:br w:type="page"/>
      </w:r>
    </w:p>
    <w:p w14:paraId="2CA97F72" w14:textId="77777777" w:rsidR="0039664E" w:rsidRDefault="0039664E" w:rsidP="0039664E">
      <w:pPr>
        <w:spacing w:line="240" w:lineRule="auto"/>
        <w:ind w:firstLine="0"/>
        <w:rPr>
          <w:rFonts w:asciiTheme="majorHAnsi" w:hAnsiTheme="majorHAnsi" w:cstheme="majorHAnsi"/>
        </w:rPr>
      </w:pPr>
      <w:r>
        <w:rPr>
          <w:rFonts w:asciiTheme="majorHAnsi" w:hAnsiTheme="majorHAnsi" w:cstheme="majorHAnsi"/>
          <w:b/>
        </w:rPr>
        <w:lastRenderedPageBreak/>
        <w:t>Exhibit</w:t>
      </w:r>
      <w:r w:rsidRPr="006F5E8B">
        <w:rPr>
          <w:rFonts w:asciiTheme="majorHAnsi" w:hAnsiTheme="majorHAnsi" w:cstheme="majorHAnsi"/>
          <w:b/>
        </w:rPr>
        <w:t xml:space="preserve"> </w:t>
      </w:r>
      <w:r>
        <w:rPr>
          <w:rFonts w:asciiTheme="majorHAnsi" w:hAnsiTheme="majorHAnsi" w:cstheme="majorHAnsi"/>
          <w:b/>
        </w:rPr>
        <w:t>12</w:t>
      </w:r>
      <w:r w:rsidRPr="006F5E8B">
        <w:rPr>
          <w:rFonts w:asciiTheme="majorHAnsi" w:hAnsiTheme="majorHAnsi" w:cstheme="majorHAnsi"/>
          <w:b/>
        </w:rPr>
        <w:t>:</w:t>
      </w:r>
      <w:r w:rsidRPr="006F5E8B">
        <w:rPr>
          <w:rFonts w:asciiTheme="majorHAnsi" w:hAnsiTheme="majorHAnsi" w:cstheme="majorHAnsi"/>
        </w:rPr>
        <w:t xml:space="preserve"> </w:t>
      </w:r>
      <w:r>
        <w:rPr>
          <w:rFonts w:asciiTheme="majorHAnsi" w:hAnsiTheme="majorHAnsi" w:cstheme="majorHAnsi"/>
        </w:rPr>
        <w:t>Suggested th</w:t>
      </w:r>
      <w:r w:rsidRPr="006F5E8B">
        <w:rPr>
          <w:rFonts w:asciiTheme="majorHAnsi" w:hAnsiTheme="majorHAnsi" w:cstheme="majorHAnsi"/>
        </w:rPr>
        <w:t>resholds for AVM Performance Metrics</w:t>
      </w:r>
      <w:r>
        <w:rPr>
          <w:rFonts w:asciiTheme="majorHAnsi" w:hAnsiTheme="majorHAnsi" w:cstheme="majorHAnsi"/>
        </w:rPr>
        <w:t xml:space="preserve"> for AVM Grading</w:t>
      </w:r>
      <w:r w:rsidRPr="006F5E8B">
        <w:rPr>
          <w:rFonts w:asciiTheme="majorHAnsi" w:hAnsiTheme="majorHAnsi" w:cstheme="majorHAnsi"/>
        </w:rPr>
        <w:t xml:space="preserve">.  </w:t>
      </w:r>
      <w:bookmarkStart w:id="19" w:name="_Hlk60232439"/>
      <w:r w:rsidRPr="006F5E8B">
        <w:rPr>
          <w:rFonts w:asciiTheme="majorHAnsi" w:hAnsiTheme="majorHAnsi" w:cstheme="majorHAnsi"/>
        </w:rPr>
        <w:t>An additional AV</w:t>
      </w:r>
      <w:r>
        <w:rPr>
          <w:rFonts w:asciiTheme="majorHAnsi" w:hAnsiTheme="majorHAnsi" w:cstheme="majorHAnsi"/>
        </w:rPr>
        <w:t xml:space="preserve">M </w:t>
      </w:r>
      <w:r w:rsidRPr="006F5E8B">
        <w:rPr>
          <w:rFonts w:asciiTheme="majorHAnsi" w:hAnsiTheme="majorHAnsi" w:cstheme="majorHAnsi"/>
        </w:rPr>
        <w:t>Performance Metric is the +/- 1 FSD</w:t>
      </w:r>
      <w:r>
        <w:rPr>
          <w:rFonts w:asciiTheme="majorHAnsi" w:hAnsiTheme="majorHAnsi" w:cstheme="majorHAnsi"/>
        </w:rPr>
        <w:t xml:space="preserve"> criterion</w:t>
      </w:r>
      <w:r w:rsidRPr="006F5E8B">
        <w:rPr>
          <w:rFonts w:asciiTheme="majorHAnsi" w:hAnsiTheme="majorHAnsi" w:cstheme="majorHAnsi"/>
        </w:rPr>
        <w:t xml:space="preserve">, which has a 68.26% </w:t>
      </w:r>
      <w:r>
        <w:rPr>
          <w:rFonts w:asciiTheme="majorHAnsi" w:hAnsiTheme="majorHAnsi" w:cstheme="majorHAnsi"/>
        </w:rPr>
        <w:t>threshold</w:t>
      </w:r>
      <w:r w:rsidRPr="006F5E8B">
        <w:rPr>
          <w:rFonts w:asciiTheme="majorHAnsi" w:hAnsiTheme="majorHAnsi" w:cstheme="majorHAnsi"/>
        </w:rPr>
        <w:t>.</w:t>
      </w:r>
      <w:r>
        <w:rPr>
          <w:rFonts w:asciiTheme="majorHAnsi" w:hAnsiTheme="majorHAnsi" w:cstheme="majorHAnsi"/>
        </w:rPr>
        <w:t xml:space="preserve"> </w:t>
      </w:r>
      <w:r w:rsidRPr="006F5E8B">
        <w:rPr>
          <w:rFonts w:asciiTheme="majorHAnsi" w:hAnsiTheme="majorHAnsi" w:cstheme="majorHAnsi"/>
        </w:rPr>
        <w:t>A</w:t>
      </w:r>
      <w:r>
        <w:rPr>
          <w:rFonts w:asciiTheme="majorHAnsi" w:hAnsiTheme="majorHAnsi" w:cstheme="majorHAnsi"/>
        </w:rPr>
        <w:t>n AVM receives a</w:t>
      </w:r>
      <w:r w:rsidRPr="006F5E8B">
        <w:rPr>
          <w:rFonts w:asciiTheme="majorHAnsi" w:hAnsiTheme="majorHAnsi" w:cstheme="majorHAnsi"/>
        </w:rPr>
        <w:t xml:space="preserve"> ‘Pass’ grade above 68.26% </w:t>
      </w:r>
      <w:r>
        <w:rPr>
          <w:rFonts w:asciiTheme="majorHAnsi" w:hAnsiTheme="majorHAnsi" w:cstheme="majorHAnsi"/>
        </w:rPr>
        <w:t>and</w:t>
      </w:r>
      <w:r w:rsidRPr="006F5E8B">
        <w:rPr>
          <w:rFonts w:asciiTheme="majorHAnsi" w:hAnsiTheme="majorHAnsi" w:cstheme="majorHAnsi"/>
        </w:rPr>
        <w:t xml:space="preserve"> a ‘Fail’ grade below.</w:t>
      </w:r>
    </w:p>
    <w:bookmarkEnd w:id="19"/>
    <w:p w14:paraId="7D8B0E47" w14:textId="77777777" w:rsidR="0039664E" w:rsidRPr="006F5E8B" w:rsidRDefault="0039664E" w:rsidP="0039664E">
      <w:pPr>
        <w:spacing w:line="240" w:lineRule="auto"/>
        <w:ind w:firstLine="0"/>
        <w:rPr>
          <w:rFonts w:asciiTheme="majorHAnsi" w:hAnsiTheme="majorHAnsi" w:cstheme="majorHAnsi"/>
        </w:rPr>
      </w:pPr>
    </w:p>
    <w:tbl>
      <w:tblPr>
        <w:tblStyle w:val="APAReport"/>
        <w:tblW w:w="5099" w:type="pct"/>
        <w:tblInd w:w="-185" w:type="dxa"/>
        <w:tblLook w:val="04A0" w:firstRow="1" w:lastRow="0" w:firstColumn="1" w:lastColumn="0" w:noHBand="0" w:noVBand="1"/>
      </w:tblPr>
      <w:tblGrid>
        <w:gridCol w:w="4501"/>
        <w:gridCol w:w="2063"/>
        <w:gridCol w:w="1417"/>
        <w:gridCol w:w="1554"/>
      </w:tblGrid>
      <w:tr w:rsidR="0039664E" w:rsidRPr="006F5E8B" w14:paraId="5EF62E24" w14:textId="77777777" w:rsidTr="001D7B22">
        <w:trPr>
          <w:cnfStyle w:val="100000000000" w:firstRow="1" w:lastRow="0" w:firstColumn="0" w:lastColumn="0" w:oddVBand="0" w:evenVBand="0" w:oddHBand="0" w:evenHBand="0" w:firstRowFirstColumn="0" w:firstRowLastColumn="0" w:lastRowFirstColumn="0" w:lastRowLastColumn="0"/>
          <w:tblHeader/>
        </w:trPr>
        <w:tc>
          <w:tcPr>
            <w:tcW w:w="2360" w:type="pct"/>
            <w:tcBorders>
              <w:left w:val="single" w:sz="4" w:space="0" w:color="auto"/>
              <w:right w:val="single" w:sz="4" w:space="0" w:color="auto"/>
            </w:tcBorders>
          </w:tcPr>
          <w:p w14:paraId="5AAFC023" w14:textId="77777777" w:rsidR="0039664E" w:rsidRPr="006F5E8B" w:rsidRDefault="0039664E" w:rsidP="001D7B22">
            <w:pPr>
              <w:rPr>
                <w:rFonts w:cstheme="majorHAnsi"/>
              </w:rPr>
            </w:pPr>
          </w:p>
          <w:p w14:paraId="236AF2C8" w14:textId="77777777" w:rsidR="0039664E" w:rsidRPr="006F5E8B" w:rsidRDefault="0039664E" w:rsidP="001D7B22">
            <w:pPr>
              <w:rPr>
                <w:rFonts w:cstheme="majorHAnsi"/>
              </w:rPr>
            </w:pPr>
            <w:r w:rsidRPr="006F5E8B">
              <w:rPr>
                <w:rFonts w:cstheme="majorHAnsi"/>
              </w:rPr>
              <w:t xml:space="preserve">AVM </w:t>
            </w:r>
            <w:r>
              <w:rPr>
                <w:rFonts w:cstheme="majorHAnsi"/>
              </w:rPr>
              <w:t xml:space="preserve">Performance </w:t>
            </w:r>
            <w:r w:rsidRPr="006F5E8B">
              <w:rPr>
                <w:rFonts w:cstheme="majorHAnsi"/>
              </w:rPr>
              <w:t>Metric</w:t>
            </w:r>
          </w:p>
        </w:tc>
        <w:tc>
          <w:tcPr>
            <w:tcW w:w="1082" w:type="pct"/>
            <w:tcBorders>
              <w:left w:val="single" w:sz="4" w:space="0" w:color="auto"/>
              <w:right w:val="single" w:sz="4" w:space="0" w:color="auto"/>
            </w:tcBorders>
          </w:tcPr>
          <w:p w14:paraId="58F0A3FE" w14:textId="77777777" w:rsidR="0039664E" w:rsidRPr="006F5E8B" w:rsidRDefault="0039664E" w:rsidP="001D7B22">
            <w:pPr>
              <w:jc w:val="center"/>
              <w:rPr>
                <w:rFonts w:cstheme="majorHAnsi"/>
              </w:rPr>
            </w:pPr>
            <w:r>
              <w:rPr>
                <w:rFonts w:cstheme="majorHAnsi"/>
              </w:rPr>
              <w:t>Acceptable but Weak</w:t>
            </w:r>
          </w:p>
          <w:p w14:paraId="22D0301A" w14:textId="77777777" w:rsidR="0039664E" w:rsidRPr="006F5E8B" w:rsidRDefault="0039664E" w:rsidP="001D7B22">
            <w:pPr>
              <w:jc w:val="center"/>
              <w:rPr>
                <w:rFonts w:cstheme="majorHAnsi"/>
              </w:rPr>
            </w:pPr>
            <w:r>
              <w:rPr>
                <w:rFonts w:cstheme="majorHAnsi"/>
              </w:rPr>
              <w:t>Threshold</w:t>
            </w:r>
            <w:r w:rsidRPr="006F5E8B">
              <w:rPr>
                <w:rFonts w:cstheme="majorHAnsi"/>
              </w:rPr>
              <w:t>s</w:t>
            </w:r>
          </w:p>
        </w:tc>
        <w:tc>
          <w:tcPr>
            <w:tcW w:w="743" w:type="pct"/>
            <w:tcBorders>
              <w:left w:val="single" w:sz="4" w:space="0" w:color="auto"/>
              <w:right w:val="single" w:sz="4" w:space="0" w:color="auto"/>
            </w:tcBorders>
          </w:tcPr>
          <w:p w14:paraId="27D20D58" w14:textId="77777777" w:rsidR="0039664E" w:rsidRPr="006F5E8B" w:rsidRDefault="0039664E" w:rsidP="001D7B22">
            <w:pPr>
              <w:jc w:val="center"/>
              <w:rPr>
                <w:rFonts w:cstheme="majorHAnsi"/>
              </w:rPr>
            </w:pPr>
            <w:r w:rsidRPr="006F5E8B">
              <w:rPr>
                <w:rFonts w:cstheme="majorHAnsi"/>
              </w:rPr>
              <w:t>Reasonable</w:t>
            </w:r>
          </w:p>
          <w:p w14:paraId="4056AFC7" w14:textId="77777777" w:rsidR="0039664E" w:rsidRPr="006F5E8B" w:rsidRDefault="0039664E" w:rsidP="001D7B22">
            <w:pPr>
              <w:jc w:val="center"/>
              <w:rPr>
                <w:rFonts w:cstheme="majorHAnsi"/>
              </w:rPr>
            </w:pPr>
            <w:r>
              <w:rPr>
                <w:rFonts w:cstheme="majorHAnsi"/>
              </w:rPr>
              <w:t>Threshold</w:t>
            </w:r>
            <w:r w:rsidRPr="006F5E8B">
              <w:rPr>
                <w:rFonts w:cstheme="majorHAnsi"/>
              </w:rPr>
              <w:t>s</w:t>
            </w:r>
          </w:p>
        </w:tc>
        <w:tc>
          <w:tcPr>
            <w:tcW w:w="816" w:type="pct"/>
            <w:tcBorders>
              <w:left w:val="single" w:sz="4" w:space="0" w:color="auto"/>
              <w:right w:val="single" w:sz="4" w:space="0" w:color="auto"/>
            </w:tcBorders>
          </w:tcPr>
          <w:p w14:paraId="58A231B8" w14:textId="77777777" w:rsidR="0039664E" w:rsidRPr="006F5E8B" w:rsidRDefault="0039664E" w:rsidP="001D7B22">
            <w:pPr>
              <w:jc w:val="center"/>
              <w:rPr>
                <w:rFonts w:cstheme="majorHAnsi"/>
              </w:rPr>
            </w:pPr>
            <w:r w:rsidRPr="006F5E8B">
              <w:rPr>
                <w:rFonts w:cstheme="majorHAnsi"/>
              </w:rPr>
              <w:t>Strongly Performing</w:t>
            </w:r>
          </w:p>
          <w:p w14:paraId="615A442C" w14:textId="77777777" w:rsidR="0039664E" w:rsidRPr="006F5E8B" w:rsidRDefault="0039664E" w:rsidP="001D7B22">
            <w:pPr>
              <w:jc w:val="center"/>
              <w:rPr>
                <w:rFonts w:cstheme="majorHAnsi"/>
              </w:rPr>
            </w:pPr>
            <w:r>
              <w:rPr>
                <w:rFonts w:cstheme="majorHAnsi"/>
              </w:rPr>
              <w:t>Threshold</w:t>
            </w:r>
            <w:r w:rsidRPr="006F5E8B">
              <w:rPr>
                <w:rFonts w:cstheme="majorHAnsi"/>
              </w:rPr>
              <w:t>s</w:t>
            </w:r>
          </w:p>
        </w:tc>
      </w:tr>
      <w:tr w:rsidR="0039664E" w:rsidRPr="006F5E8B" w14:paraId="30BECAED" w14:textId="77777777" w:rsidTr="001D7B22">
        <w:tc>
          <w:tcPr>
            <w:tcW w:w="2360" w:type="pct"/>
            <w:tcBorders>
              <w:top w:val="single" w:sz="12" w:space="0" w:color="auto"/>
              <w:left w:val="single" w:sz="4" w:space="0" w:color="auto"/>
              <w:bottom w:val="single" w:sz="12" w:space="0" w:color="auto"/>
              <w:right w:val="single" w:sz="4" w:space="0" w:color="auto"/>
            </w:tcBorders>
          </w:tcPr>
          <w:p w14:paraId="2554F2F9" w14:textId="77777777" w:rsidR="0039664E" w:rsidRPr="006F5E8B" w:rsidRDefault="0039664E" w:rsidP="001D7B22">
            <w:pPr>
              <w:rPr>
                <w:rFonts w:asciiTheme="majorHAnsi" w:hAnsiTheme="majorHAnsi" w:cstheme="majorHAnsi"/>
              </w:rPr>
            </w:pPr>
            <w:r w:rsidRPr="006F5E8B">
              <w:rPr>
                <w:rFonts w:asciiTheme="majorHAnsi" w:hAnsiTheme="majorHAnsi" w:cstheme="majorHAnsi"/>
              </w:rPr>
              <w:t>Mean Percentage Sales Error*</w:t>
            </w:r>
          </w:p>
          <w:p w14:paraId="46F9F068" w14:textId="77777777" w:rsidR="0039664E" w:rsidRPr="006F5E8B" w:rsidRDefault="0039664E" w:rsidP="001D7B22">
            <w:pPr>
              <w:rPr>
                <w:rFonts w:asciiTheme="majorHAnsi" w:hAnsiTheme="majorHAnsi" w:cstheme="majorHAnsi"/>
              </w:rPr>
            </w:pPr>
            <w:r w:rsidRPr="006F5E8B">
              <w:rPr>
                <w:rFonts w:asciiTheme="majorHAnsi" w:hAnsiTheme="majorHAnsi" w:cstheme="majorHAnsi"/>
              </w:rPr>
              <w:t>Median Percentage Sales Error*</w:t>
            </w:r>
          </w:p>
          <w:p w14:paraId="7D88973A" w14:textId="77777777" w:rsidR="0039664E" w:rsidRPr="006F5E8B" w:rsidRDefault="0039664E" w:rsidP="001D7B22">
            <w:pPr>
              <w:rPr>
                <w:rFonts w:asciiTheme="majorHAnsi" w:hAnsiTheme="majorHAnsi" w:cstheme="majorHAnsi"/>
              </w:rPr>
            </w:pPr>
            <w:r w:rsidRPr="006F5E8B">
              <w:rPr>
                <w:rFonts w:asciiTheme="majorHAnsi" w:hAnsiTheme="majorHAnsi" w:cstheme="majorHAnsi"/>
              </w:rPr>
              <w:t>Mean Absolute Percentage Error</w:t>
            </w:r>
          </w:p>
          <w:p w14:paraId="7C1E76EA" w14:textId="77777777" w:rsidR="0039664E" w:rsidRPr="006F5E8B" w:rsidRDefault="0039664E" w:rsidP="001D7B22">
            <w:pPr>
              <w:rPr>
                <w:rFonts w:asciiTheme="majorHAnsi" w:hAnsiTheme="majorHAnsi" w:cstheme="majorHAnsi"/>
              </w:rPr>
            </w:pPr>
            <w:r w:rsidRPr="006F5E8B">
              <w:rPr>
                <w:rFonts w:asciiTheme="majorHAnsi" w:hAnsiTheme="majorHAnsi" w:cstheme="majorHAnsi"/>
              </w:rPr>
              <w:t xml:space="preserve">Median Absolute Percentage Error (MAPE)     </w:t>
            </w:r>
          </w:p>
          <w:p w14:paraId="37C4F01C" w14:textId="77777777" w:rsidR="0039664E" w:rsidRPr="006F5E8B" w:rsidRDefault="0039664E" w:rsidP="001D7B22">
            <w:pPr>
              <w:rPr>
                <w:rFonts w:asciiTheme="majorHAnsi" w:hAnsiTheme="majorHAnsi" w:cstheme="majorHAnsi"/>
              </w:rPr>
            </w:pPr>
            <w:r w:rsidRPr="006F5E8B">
              <w:rPr>
                <w:rFonts w:asciiTheme="majorHAnsi" w:hAnsiTheme="majorHAnsi" w:cstheme="majorHAnsi"/>
              </w:rPr>
              <w:t>Forecast Standard Deviation (FSD)</w:t>
            </w:r>
          </w:p>
          <w:p w14:paraId="193C3AD1" w14:textId="77777777" w:rsidR="0039664E" w:rsidRPr="006F5E8B" w:rsidRDefault="0039664E" w:rsidP="001D7B22">
            <w:pPr>
              <w:rPr>
                <w:rFonts w:asciiTheme="majorHAnsi" w:hAnsiTheme="majorHAnsi" w:cstheme="majorHAnsi"/>
              </w:rPr>
            </w:pPr>
            <w:r w:rsidRPr="006F5E8B">
              <w:rPr>
                <w:rFonts w:asciiTheme="majorHAnsi" w:hAnsiTheme="majorHAnsi" w:cstheme="majorHAnsi"/>
              </w:rPr>
              <w:t>Failure Rate at +/- 5% (FR5)</w:t>
            </w:r>
          </w:p>
          <w:p w14:paraId="36A912D5" w14:textId="77777777" w:rsidR="0039664E" w:rsidRPr="006F5E8B" w:rsidRDefault="0039664E" w:rsidP="001D7B22">
            <w:pPr>
              <w:rPr>
                <w:rFonts w:asciiTheme="majorHAnsi" w:hAnsiTheme="majorHAnsi" w:cstheme="majorHAnsi"/>
              </w:rPr>
            </w:pPr>
            <w:r w:rsidRPr="006F5E8B">
              <w:rPr>
                <w:rFonts w:asciiTheme="majorHAnsi" w:hAnsiTheme="majorHAnsi" w:cstheme="majorHAnsi"/>
              </w:rPr>
              <w:t>Failure Rate at +/- 10% (FR10)</w:t>
            </w:r>
          </w:p>
          <w:p w14:paraId="0F4443FB" w14:textId="77777777" w:rsidR="0039664E" w:rsidRPr="006F5E8B" w:rsidRDefault="0039664E" w:rsidP="001D7B22">
            <w:pPr>
              <w:rPr>
                <w:rFonts w:asciiTheme="majorHAnsi" w:hAnsiTheme="majorHAnsi" w:cstheme="majorHAnsi"/>
              </w:rPr>
            </w:pPr>
            <w:r w:rsidRPr="006F5E8B">
              <w:rPr>
                <w:rFonts w:asciiTheme="majorHAnsi" w:hAnsiTheme="majorHAnsi" w:cstheme="majorHAnsi"/>
              </w:rPr>
              <w:t>Failure Rate at +/- 15% (FR15)</w:t>
            </w:r>
          </w:p>
          <w:p w14:paraId="48F0BC6A" w14:textId="77777777" w:rsidR="0039664E" w:rsidRPr="006F5E8B" w:rsidRDefault="0039664E" w:rsidP="001D7B22">
            <w:pPr>
              <w:rPr>
                <w:rFonts w:asciiTheme="majorHAnsi" w:hAnsiTheme="majorHAnsi" w:cstheme="majorHAnsi"/>
              </w:rPr>
            </w:pPr>
            <w:r w:rsidRPr="006F5E8B">
              <w:rPr>
                <w:rFonts w:asciiTheme="majorHAnsi" w:hAnsiTheme="majorHAnsi" w:cstheme="majorHAnsi"/>
              </w:rPr>
              <w:t>Failure Rate at +/- 20% (FR20)</w:t>
            </w:r>
          </w:p>
          <w:p w14:paraId="56790C3E" w14:textId="77777777" w:rsidR="0039664E" w:rsidRPr="006F5E8B" w:rsidRDefault="0039664E" w:rsidP="001D7B22">
            <w:pPr>
              <w:rPr>
                <w:rFonts w:asciiTheme="majorHAnsi" w:hAnsiTheme="majorHAnsi" w:cstheme="majorHAnsi"/>
              </w:rPr>
            </w:pPr>
            <w:r w:rsidRPr="006F5E8B">
              <w:rPr>
                <w:rFonts w:asciiTheme="majorHAnsi" w:hAnsiTheme="majorHAnsi" w:cstheme="majorHAnsi"/>
              </w:rPr>
              <w:t xml:space="preserve">Right Tail </w:t>
            </w:r>
            <w:r>
              <w:rPr>
                <w:rFonts w:asciiTheme="majorHAnsi" w:hAnsiTheme="majorHAnsi" w:cstheme="majorHAnsi"/>
              </w:rPr>
              <w:t xml:space="preserve">20% </w:t>
            </w:r>
            <w:r w:rsidRPr="006F5E8B">
              <w:rPr>
                <w:rFonts w:asciiTheme="majorHAnsi" w:hAnsiTheme="majorHAnsi" w:cstheme="majorHAnsi"/>
              </w:rPr>
              <w:t>(RT20)</w:t>
            </w:r>
          </w:p>
        </w:tc>
        <w:tc>
          <w:tcPr>
            <w:tcW w:w="1082" w:type="pct"/>
            <w:tcBorders>
              <w:top w:val="single" w:sz="12" w:space="0" w:color="auto"/>
              <w:left w:val="single" w:sz="4" w:space="0" w:color="auto"/>
              <w:bottom w:val="single" w:sz="12" w:space="0" w:color="auto"/>
              <w:right w:val="single" w:sz="4" w:space="0" w:color="auto"/>
            </w:tcBorders>
          </w:tcPr>
          <w:p w14:paraId="7CD78947"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 xml:space="preserve"> 2 to 5</w:t>
            </w:r>
          </w:p>
          <w:p w14:paraId="73BA5210"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2 to 5</w:t>
            </w:r>
          </w:p>
          <w:p w14:paraId="4DEB37F5"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10 to 13</w:t>
            </w:r>
          </w:p>
          <w:p w14:paraId="53CE8D7E"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10 to 13</w:t>
            </w:r>
          </w:p>
          <w:p w14:paraId="3616EC4C"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15 to 19</w:t>
            </w:r>
          </w:p>
          <w:p w14:paraId="2873EB10"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 xml:space="preserve"> 40 to 60</w:t>
            </w:r>
          </w:p>
          <w:p w14:paraId="020D9B49"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3</w:t>
            </w:r>
            <w:r>
              <w:rPr>
                <w:rFonts w:asciiTheme="majorHAnsi" w:hAnsiTheme="majorHAnsi" w:cstheme="majorHAnsi"/>
              </w:rPr>
              <w:t>5</w:t>
            </w:r>
            <w:r w:rsidRPr="00692FE6">
              <w:rPr>
                <w:rFonts w:asciiTheme="majorHAnsi" w:hAnsiTheme="majorHAnsi" w:cstheme="majorHAnsi"/>
              </w:rPr>
              <w:t xml:space="preserve"> to 50</w:t>
            </w:r>
          </w:p>
          <w:p w14:paraId="5F0AE428"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20 to 35</w:t>
            </w:r>
          </w:p>
          <w:p w14:paraId="3FDFCBEB"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10 to 20</w:t>
            </w:r>
          </w:p>
          <w:p w14:paraId="079ECABE"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10 to 15</w:t>
            </w:r>
          </w:p>
        </w:tc>
        <w:tc>
          <w:tcPr>
            <w:tcW w:w="743" w:type="pct"/>
            <w:tcBorders>
              <w:top w:val="single" w:sz="12" w:space="0" w:color="auto"/>
              <w:left w:val="single" w:sz="4" w:space="0" w:color="auto"/>
              <w:bottom w:val="single" w:sz="12" w:space="0" w:color="auto"/>
              <w:right w:val="single" w:sz="4" w:space="0" w:color="auto"/>
            </w:tcBorders>
          </w:tcPr>
          <w:p w14:paraId="71D4A2BA"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 xml:space="preserve"> 1 to 2</w:t>
            </w:r>
          </w:p>
          <w:p w14:paraId="0573B342"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1 to 2</w:t>
            </w:r>
          </w:p>
          <w:p w14:paraId="42B09DDA"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5 to 10</w:t>
            </w:r>
          </w:p>
          <w:p w14:paraId="0CA49ADA"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5 to 10</w:t>
            </w:r>
          </w:p>
          <w:p w14:paraId="21D54AD4"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5 to 15</w:t>
            </w:r>
          </w:p>
          <w:p w14:paraId="0EA4723F"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20 to 40</w:t>
            </w:r>
          </w:p>
          <w:p w14:paraId="55BF9C73"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 xml:space="preserve">10 to 32 </w:t>
            </w:r>
          </w:p>
          <w:p w14:paraId="32E1BF25" w14:textId="77777777" w:rsidR="0039664E" w:rsidRPr="00692FE6" w:rsidRDefault="0039664E" w:rsidP="001D7B22">
            <w:pPr>
              <w:jc w:val="center"/>
              <w:rPr>
                <w:rFonts w:asciiTheme="majorHAnsi" w:hAnsiTheme="majorHAnsi" w:cstheme="majorHAnsi"/>
              </w:rPr>
            </w:pPr>
            <w:r>
              <w:rPr>
                <w:rFonts w:asciiTheme="majorHAnsi" w:hAnsiTheme="majorHAnsi" w:cstheme="majorHAnsi"/>
              </w:rPr>
              <w:t>5 to</w:t>
            </w:r>
            <w:r w:rsidRPr="00692FE6">
              <w:rPr>
                <w:rFonts w:asciiTheme="majorHAnsi" w:hAnsiTheme="majorHAnsi" w:cstheme="majorHAnsi"/>
              </w:rPr>
              <w:t xml:space="preserve"> 20</w:t>
            </w:r>
          </w:p>
          <w:p w14:paraId="196EC057" w14:textId="77777777" w:rsidR="0039664E" w:rsidRPr="00692FE6" w:rsidRDefault="0039664E" w:rsidP="001D7B22">
            <w:pPr>
              <w:jc w:val="center"/>
              <w:rPr>
                <w:rFonts w:asciiTheme="majorHAnsi" w:hAnsiTheme="majorHAnsi" w:cstheme="majorHAnsi"/>
              </w:rPr>
            </w:pPr>
            <w:r>
              <w:rPr>
                <w:rFonts w:asciiTheme="majorHAnsi" w:hAnsiTheme="majorHAnsi" w:cstheme="majorHAnsi"/>
              </w:rPr>
              <w:t xml:space="preserve">2 to </w:t>
            </w:r>
            <w:r w:rsidRPr="00692FE6">
              <w:rPr>
                <w:rFonts w:asciiTheme="majorHAnsi" w:hAnsiTheme="majorHAnsi" w:cstheme="majorHAnsi"/>
              </w:rPr>
              <w:t>10</w:t>
            </w:r>
          </w:p>
          <w:p w14:paraId="48D59189" w14:textId="77777777" w:rsidR="0039664E" w:rsidRPr="00692FE6" w:rsidRDefault="0039664E" w:rsidP="001D7B22">
            <w:pPr>
              <w:jc w:val="center"/>
              <w:rPr>
                <w:rFonts w:asciiTheme="majorHAnsi" w:hAnsiTheme="majorHAnsi" w:cstheme="majorHAnsi"/>
              </w:rPr>
            </w:pPr>
            <w:r>
              <w:rPr>
                <w:rFonts w:asciiTheme="majorHAnsi" w:hAnsiTheme="majorHAnsi" w:cstheme="majorHAnsi"/>
              </w:rPr>
              <w:t xml:space="preserve">2 to </w:t>
            </w:r>
            <w:r w:rsidRPr="00692FE6">
              <w:rPr>
                <w:rFonts w:asciiTheme="majorHAnsi" w:hAnsiTheme="majorHAnsi" w:cstheme="majorHAnsi"/>
              </w:rPr>
              <w:t>10</w:t>
            </w:r>
          </w:p>
        </w:tc>
        <w:tc>
          <w:tcPr>
            <w:tcW w:w="816" w:type="pct"/>
            <w:tcBorders>
              <w:top w:val="single" w:sz="12" w:space="0" w:color="auto"/>
              <w:left w:val="single" w:sz="4" w:space="0" w:color="auto"/>
              <w:bottom w:val="single" w:sz="12" w:space="0" w:color="auto"/>
              <w:right w:val="single" w:sz="4" w:space="0" w:color="auto"/>
            </w:tcBorders>
          </w:tcPr>
          <w:p w14:paraId="443D1CFF"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 xml:space="preserve"> &lt; 1</w:t>
            </w:r>
          </w:p>
          <w:p w14:paraId="778E2F83"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&lt; 1</w:t>
            </w:r>
          </w:p>
          <w:p w14:paraId="24C19C5E"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&lt; 5</w:t>
            </w:r>
          </w:p>
          <w:p w14:paraId="32988BA7"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&lt; 5</w:t>
            </w:r>
          </w:p>
          <w:p w14:paraId="213266C7"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&lt; 5</w:t>
            </w:r>
          </w:p>
          <w:p w14:paraId="259DA35B"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&lt; 20</w:t>
            </w:r>
          </w:p>
          <w:p w14:paraId="2B90A357"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&lt; 10</w:t>
            </w:r>
          </w:p>
          <w:p w14:paraId="66D70CCE"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&lt; 5</w:t>
            </w:r>
          </w:p>
          <w:p w14:paraId="6313309F"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&lt; 2</w:t>
            </w:r>
          </w:p>
          <w:p w14:paraId="723D3247" w14:textId="77777777" w:rsidR="0039664E" w:rsidRPr="00692FE6" w:rsidRDefault="0039664E" w:rsidP="001D7B22">
            <w:pPr>
              <w:jc w:val="center"/>
              <w:rPr>
                <w:rFonts w:asciiTheme="majorHAnsi" w:hAnsiTheme="majorHAnsi" w:cstheme="majorHAnsi"/>
              </w:rPr>
            </w:pPr>
            <w:r w:rsidRPr="00692FE6">
              <w:rPr>
                <w:rFonts w:asciiTheme="majorHAnsi" w:hAnsiTheme="majorHAnsi" w:cstheme="majorHAnsi"/>
              </w:rPr>
              <w:t>&lt; 2</w:t>
            </w:r>
          </w:p>
        </w:tc>
      </w:tr>
    </w:tbl>
    <w:p w14:paraId="227BA6C3" w14:textId="77777777" w:rsidR="0039664E" w:rsidRDefault="0039664E" w:rsidP="0039664E">
      <w:pPr>
        <w:pStyle w:val="TableFigure"/>
        <w:spacing w:line="240" w:lineRule="auto"/>
        <w:rPr>
          <w:rFonts w:asciiTheme="majorHAnsi" w:eastAsia="Times New Roman" w:hAnsiTheme="majorHAnsi" w:cstheme="majorHAnsi"/>
          <w:color w:val="auto"/>
          <w:lang w:eastAsia="en-US"/>
        </w:rPr>
      </w:pPr>
      <w:r w:rsidRPr="006F5E8B">
        <w:rPr>
          <w:rFonts w:asciiTheme="majorHAnsi" w:eastAsia="Times New Roman" w:hAnsiTheme="majorHAnsi" w:cstheme="majorHAnsi"/>
          <w:color w:val="auto"/>
          <w:lang w:eastAsia="en-US"/>
        </w:rPr>
        <w:t xml:space="preserve">*  </w:t>
      </w:r>
      <w:r>
        <w:rPr>
          <w:rFonts w:asciiTheme="majorHAnsi" w:eastAsia="Times New Roman" w:hAnsiTheme="majorHAnsi" w:cstheme="majorHAnsi"/>
          <w:color w:val="auto"/>
          <w:lang w:eastAsia="en-US"/>
        </w:rPr>
        <w:t xml:space="preserve">Thresholds presented </w:t>
      </w:r>
      <w:r w:rsidRPr="006F5E8B">
        <w:rPr>
          <w:rFonts w:asciiTheme="majorHAnsi" w:eastAsia="Times New Roman" w:hAnsiTheme="majorHAnsi" w:cstheme="majorHAnsi"/>
          <w:color w:val="auto"/>
          <w:lang w:eastAsia="en-US"/>
        </w:rPr>
        <w:t xml:space="preserve">in </w:t>
      </w:r>
      <w:r>
        <w:rPr>
          <w:rFonts w:asciiTheme="majorHAnsi" w:eastAsia="Times New Roman" w:hAnsiTheme="majorHAnsi" w:cstheme="majorHAnsi"/>
          <w:color w:val="auto"/>
          <w:lang w:eastAsia="en-US"/>
        </w:rPr>
        <w:t>a</w:t>
      </w:r>
      <w:r w:rsidRPr="006F5E8B">
        <w:rPr>
          <w:rFonts w:asciiTheme="majorHAnsi" w:eastAsia="Times New Roman" w:hAnsiTheme="majorHAnsi" w:cstheme="majorHAnsi"/>
          <w:color w:val="auto"/>
          <w:lang w:eastAsia="en-US"/>
        </w:rPr>
        <w:t xml:space="preserve">bsolute </w:t>
      </w:r>
      <w:r>
        <w:rPr>
          <w:rFonts w:asciiTheme="majorHAnsi" w:eastAsia="Times New Roman" w:hAnsiTheme="majorHAnsi" w:cstheme="majorHAnsi"/>
          <w:color w:val="auto"/>
          <w:lang w:eastAsia="en-US"/>
        </w:rPr>
        <w:t>v</w:t>
      </w:r>
      <w:r w:rsidRPr="006F5E8B">
        <w:rPr>
          <w:rFonts w:asciiTheme="majorHAnsi" w:eastAsia="Times New Roman" w:hAnsiTheme="majorHAnsi" w:cstheme="majorHAnsi"/>
          <w:color w:val="auto"/>
          <w:lang w:eastAsia="en-US"/>
        </w:rPr>
        <w:t>alue</w:t>
      </w:r>
    </w:p>
    <w:p w14:paraId="7CB9574F" w14:textId="77777777" w:rsidR="0039664E" w:rsidRDefault="0039664E" w:rsidP="0039664E">
      <w:pPr>
        <w:pStyle w:val="TableFigure"/>
        <w:spacing w:line="240" w:lineRule="auto"/>
        <w:rPr>
          <w:rFonts w:asciiTheme="majorHAnsi" w:eastAsia="Times New Roman" w:hAnsiTheme="majorHAnsi" w:cstheme="majorHAnsi"/>
          <w:color w:val="auto"/>
          <w:lang w:eastAsia="en-US"/>
        </w:rPr>
      </w:pPr>
    </w:p>
    <w:p w14:paraId="6D57750C" w14:textId="77777777" w:rsidR="0039664E" w:rsidRDefault="0039664E" w:rsidP="0039664E">
      <w:pPr>
        <w:pStyle w:val="TableFigure"/>
        <w:spacing w:line="240" w:lineRule="auto"/>
        <w:rPr>
          <w:rFonts w:asciiTheme="majorHAnsi" w:eastAsia="Times New Roman" w:hAnsiTheme="majorHAnsi" w:cstheme="majorHAnsi"/>
          <w:color w:val="auto"/>
          <w:lang w:eastAsia="en-US"/>
        </w:rPr>
      </w:pPr>
    </w:p>
    <w:p w14:paraId="4F32373C" w14:textId="77777777" w:rsidR="0039664E" w:rsidRDefault="0039664E" w:rsidP="0039664E">
      <w:pPr>
        <w:pStyle w:val="TableFigure"/>
        <w:spacing w:line="240" w:lineRule="auto"/>
        <w:rPr>
          <w:rFonts w:asciiTheme="majorHAnsi" w:eastAsia="Times New Roman" w:hAnsiTheme="majorHAnsi" w:cstheme="majorHAnsi"/>
          <w:color w:val="auto"/>
          <w:lang w:eastAsia="en-US"/>
        </w:rPr>
      </w:pPr>
    </w:p>
    <w:p w14:paraId="32C39C1E" w14:textId="77777777" w:rsidR="000875AC" w:rsidRDefault="000875AC" w:rsidP="000875AC">
      <w:pPr>
        <w:rPr>
          <w:rFonts w:asciiTheme="majorHAnsi" w:eastAsia="Times New Roman" w:hAnsiTheme="majorHAnsi" w:cstheme="majorHAnsi"/>
          <w:color w:val="auto"/>
          <w:lang w:eastAsia="en-US"/>
        </w:rPr>
      </w:pPr>
    </w:p>
    <w:sectPr w:rsidR="000875AC" w:rsidSect="00FA4C86">
      <w:headerReference w:type="even" r:id="rId32"/>
      <w:headerReference w:type="default" r:id="rId33"/>
      <w:footerReference w:type="even" r:id="rId34"/>
      <w:footerReference w:type="default" r:id="rId35"/>
      <w:headerReference w:type="first" r:id="rId36"/>
      <w:footerReference w:type="first" r:id="rId37"/>
      <w:footnotePr>
        <w:pos w:val="beneathText"/>
      </w:footnotePr>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6DF52" w14:textId="77777777" w:rsidR="008C7EE9" w:rsidRDefault="008C7EE9">
      <w:pPr>
        <w:spacing w:line="240" w:lineRule="auto"/>
      </w:pPr>
      <w:r>
        <w:separator/>
      </w:r>
    </w:p>
    <w:p w14:paraId="55820A14" w14:textId="77777777" w:rsidR="008C7EE9" w:rsidRDefault="008C7EE9"/>
  </w:endnote>
  <w:endnote w:type="continuationSeparator" w:id="0">
    <w:p w14:paraId="67DD25F0" w14:textId="77777777" w:rsidR="008C7EE9" w:rsidRDefault="008C7EE9">
      <w:pPr>
        <w:spacing w:line="240" w:lineRule="auto"/>
      </w:pPr>
      <w:r>
        <w:continuationSeparator/>
      </w:r>
    </w:p>
    <w:p w14:paraId="2A05677E" w14:textId="77777777" w:rsidR="008C7EE9" w:rsidRDefault="008C7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C199" w14:textId="77777777" w:rsidR="000A2A90" w:rsidRDefault="000A2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704068"/>
      <w:docPartObj>
        <w:docPartGallery w:val="Page Numbers (Bottom of Page)"/>
        <w:docPartUnique/>
      </w:docPartObj>
    </w:sdtPr>
    <w:sdtEndPr>
      <w:rPr>
        <w:noProof/>
      </w:rPr>
    </w:sdtEndPr>
    <w:sdtContent>
      <w:p w14:paraId="145D179B" w14:textId="29BA773B" w:rsidR="001D7B22" w:rsidRDefault="001D7B22">
        <w:pPr>
          <w:pStyle w:val="Footer"/>
          <w:jc w:val="center"/>
        </w:pPr>
        <w:r>
          <w:fldChar w:fldCharType="begin"/>
        </w:r>
        <w:r>
          <w:instrText xml:space="preserve"> PAGE   \* MERGEFORMAT </w:instrText>
        </w:r>
        <w:r>
          <w:fldChar w:fldCharType="separate"/>
        </w:r>
        <w:r w:rsidR="00077C9D">
          <w:rPr>
            <w:noProof/>
          </w:rPr>
          <w:t>21</w:t>
        </w:r>
        <w:r>
          <w:rPr>
            <w:noProof/>
          </w:rPr>
          <w:fldChar w:fldCharType="end"/>
        </w:r>
      </w:p>
    </w:sdtContent>
  </w:sdt>
  <w:p w14:paraId="50EFF357" w14:textId="77777777" w:rsidR="001D7B22" w:rsidRDefault="001D7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A208C" w14:textId="77777777" w:rsidR="000A2A90" w:rsidRDefault="000A2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7AF3D" w14:textId="77777777" w:rsidR="008C7EE9" w:rsidRDefault="008C7EE9">
      <w:pPr>
        <w:spacing w:line="240" w:lineRule="auto"/>
      </w:pPr>
      <w:r>
        <w:separator/>
      </w:r>
    </w:p>
    <w:p w14:paraId="25BABAD0" w14:textId="77777777" w:rsidR="008C7EE9" w:rsidRDefault="008C7EE9"/>
  </w:footnote>
  <w:footnote w:type="continuationSeparator" w:id="0">
    <w:p w14:paraId="3EDB14BC" w14:textId="77777777" w:rsidR="008C7EE9" w:rsidRDefault="008C7EE9">
      <w:pPr>
        <w:spacing w:line="240" w:lineRule="auto"/>
      </w:pPr>
      <w:r>
        <w:continuationSeparator/>
      </w:r>
    </w:p>
    <w:p w14:paraId="75B74BA2" w14:textId="77777777" w:rsidR="008C7EE9" w:rsidRDefault="008C7EE9"/>
  </w:footnote>
  <w:footnote w:id="1">
    <w:p w14:paraId="4ECD44B4" w14:textId="2DDABC7F" w:rsidR="001D7B22" w:rsidRDefault="001D7B22" w:rsidP="00347F81">
      <w:pPr>
        <w:pStyle w:val="FootnoteText"/>
        <w:ind w:firstLine="0"/>
      </w:pPr>
      <w:r>
        <w:rPr>
          <w:rStyle w:val="FootnoteReference"/>
        </w:rPr>
        <w:footnoteRef/>
      </w:r>
      <w:r>
        <w:t xml:space="preserve"> The target property is the same as the subject property in an appraisal.</w:t>
      </w:r>
    </w:p>
  </w:footnote>
  <w:footnote w:id="2">
    <w:p w14:paraId="39EB29C3" w14:textId="2B300B84" w:rsidR="001D7B22" w:rsidRDefault="001D7B22" w:rsidP="00A931DD">
      <w:pPr>
        <w:pStyle w:val="EndnoteText"/>
        <w:ind w:left="-720"/>
        <w:jc w:val="both"/>
      </w:pPr>
      <w:r>
        <w:rPr>
          <w:rStyle w:val="FootnoteReference"/>
        </w:rPr>
        <w:footnoteRef/>
      </w:r>
      <w:r>
        <w:t xml:space="preserve"> An AVM is a computer software program that produces an estimate of market value for a single target </w:t>
      </w:r>
      <w:r>
        <w:tab/>
      </w:r>
    </w:p>
    <w:p w14:paraId="3E140116" w14:textId="236A5F94" w:rsidR="001D7B22" w:rsidRDefault="001D7B22" w:rsidP="001E7CB2">
      <w:pPr>
        <w:pStyle w:val="EndnoteText"/>
        <w:ind w:left="-720"/>
        <w:jc w:val="both"/>
      </w:pPr>
      <w:r>
        <w:t xml:space="preserve">property.  In this study, the term “AVM” will be used to refer to a commercial or professional grade AVM. </w:t>
      </w:r>
    </w:p>
    <w:p w14:paraId="0E0A3D38" w14:textId="77777777" w:rsidR="001D7B22" w:rsidRDefault="001D7B22" w:rsidP="001E7CB2">
      <w:pPr>
        <w:pStyle w:val="EndnoteText"/>
        <w:ind w:left="-720"/>
        <w:jc w:val="both"/>
      </w:pPr>
      <w:r>
        <w:t xml:space="preserve">That is, an AVM whose output is sold by AVM vendors to clients, in contrast to a consumer facing </w:t>
      </w:r>
      <w:r>
        <w:tab/>
      </w:r>
    </w:p>
    <w:p w14:paraId="4DAB73D6" w14:textId="3B7E2DD4" w:rsidR="001D7B22" w:rsidRDefault="001D7B22" w:rsidP="009F5601">
      <w:pPr>
        <w:pStyle w:val="EndnoteText"/>
        <w:ind w:left="-720"/>
        <w:jc w:val="both"/>
      </w:pPr>
      <w:r>
        <w:t xml:space="preserve">AVM that typically provides output free of charge.  See </w:t>
      </w:r>
      <w:r w:rsidRPr="00E87CF6">
        <w:t>Mortgage Bankers Association (2019</w:t>
      </w:r>
      <w:r>
        <w:t>, p. 9-10)</w:t>
      </w:r>
      <w:r w:rsidRPr="00E87CF6">
        <w:t>.</w:t>
      </w:r>
    </w:p>
  </w:footnote>
  <w:footnote w:id="3">
    <w:p w14:paraId="4F90B176" w14:textId="02E2CD7F" w:rsidR="001D7B22" w:rsidRDefault="001D7B22" w:rsidP="00D762FD">
      <w:pPr>
        <w:pStyle w:val="FootnoteText"/>
        <w:ind w:left="-720"/>
      </w:pPr>
      <w:r>
        <w:rPr>
          <w:rStyle w:val="FootnoteReference"/>
        </w:rPr>
        <w:footnoteRef/>
      </w:r>
      <w:r>
        <w:t xml:space="preserve"> </w:t>
      </w:r>
      <w:r w:rsidRPr="0097528D">
        <w:t>Recent</w:t>
      </w:r>
      <w:r>
        <w:t xml:space="preserve"> </w:t>
      </w:r>
      <w:r w:rsidRPr="0097528D">
        <w:t>data ha</w:t>
      </w:r>
      <w:r>
        <w:t>ve</w:t>
      </w:r>
      <w:r w:rsidRPr="0097528D">
        <w:t xml:space="preserve"> illustrated that approximately 9</w:t>
      </w:r>
      <w:r>
        <w:t xml:space="preserve">0 percent of </w:t>
      </w:r>
      <w:r w:rsidRPr="0097528D">
        <w:t xml:space="preserve">residential mortgage originations are </w:t>
      </w:r>
      <w:r>
        <w:tab/>
      </w:r>
    </w:p>
    <w:p w14:paraId="1597EA1A" w14:textId="77777777" w:rsidR="001D7B22" w:rsidRDefault="001D7B22" w:rsidP="00D762FD">
      <w:pPr>
        <w:pStyle w:val="FootnoteText"/>
        <w:ind w:left="-720"/>
      </w:pPr>
      <w:r w:rsidRPr="0097528D">
        <w:t>eligible for</w:t>
      </w:r>
      <w:r>
        <w:t xml:space="preserve"> a</w:t>
      </w:r>
      <w:r w:rsidRPr="0097528D">
        <w:t xml:space="preserve">ppraisal exceptions established since the enactment of FIRREA by the designated federal </w:t>
      </w:r>
      <w:r>
        <w:tab/>
      </w:r>
    </w:p>
    <w:p w14:paraId="53C127C8" w14:textId="77777777" w:rsidR="001D7B22" w:rsidRDefault="001D7B22" w:rsidP="00D762FD">
      <w:pPr>
        <w:pStyle w:val="FootnoteText"/>
        <w:ind w:left="-720"/>
      </w:pPr>
      <w:r w:rsidRPr="0097528D">
        <w:t>regulatory</w:t>
      </w:r>
      <w:r>
        <w:t xml:space="preserve"> </w:t>
      </w:r>
      <w:r w:rsidRPr="0097528D">
        <w:t>agencies.</w:t>
      </w:r>
      <w:r>
        <w:t xml:space="preserve"> </w:t>
      </w:r>
      <w:r w:rsidRPr="0097528D">
        <w:t>An updated appraisal statute should account for the development of automated</w:t>
      </w:r>
      <w:r>
        <w:t xml:space="preserve"> </w:t>
      </w:r>
      <w:r w:rsidRPr="0097528D">
        <w:t xml:space="preserve">and </w:t>
      </w:r>
    </w:p>
    <w:p w14:paraId="5B7D6458" w14:textId="31808E98" w:rsidR="001D7B22" w:rsidRDefault="001D7B22" w:rsidP="00D762FD">
      <w:pPr>
        <w:pStyle w:val="FootnoteText"/>
        <w:ind w:left="-720"/>
      </w:pPr>
      <w:r w:rsidRPr="0097528D">
        <w:t>hybrid appraisal practices and sanction their use</w:t>
      </w:r>
      <w:r>
        <w:t>,</w:t>
      </w:r>
      <w:r w:rsidRPr="0097528D">
        <w:t xml:space="preserve"> where the characteristics of the transaction</w:t>
      </w:r>
      <w:r>
        <w:t xml:space="preserve"> </w:t>
      </w:r>
      <w:r w:rsidRPr="0097528D">
        <w:t xml:space="preserve">and market </w:t>
      </w:r>
    </w:p>
    <w:p w14:paraId="747F77A8" w14:textId="3BA4C7FE" w:rsidR="001D7B22" w:rsidRPr="00FF18EF" w:rsidRDefault="001D7B22" w:rsidP="00D762FD">
      <w:pPr>
        <w:pStyle w:val="FootnoteText"/>
        <w:ind w:left="-720"/>
        <w:rPr>
          <w:color w:val="auto"/>
        </w:rPr>
      </w:pPr>
      <w:r w:rsidRPr="0097528D">
        <w:t>conditions indicate it is prudent to do so</w:t>
      </w:r>
      <w:r w:rsidRPr="00FF18EF">
        <w:rPr>
          <w:color w:val="auto"/>
        </w:rPr>
        <w:t xml:space="preserve">. </w:t>
      </w:r>
      <w:r w:rsidRPr="005E485B">
        <w:rPr>
          <w:color w:val="auto"/>
        </w:rPr>
        <w:t>(FHFA</w:t>
      </w:r>
      <w:r>
        <w:rPr>
          <w:color w:val="auto"/>
        </w:rPr>
        <w:t xml:space="preserve"> Office of Inspector General</w:t>
      </w:r>
      <w:r w:rsidRPr="005E485B">
        <w:rPr>
          <w:color w:val="auto"/>
        </w:rPr>
        <w:t>, 2018, p. 9)</w:t>
      </w:r>
    </w:p>
    <w:p w14:paraId="3AC2C31B" w14:textId="591E5341" w:rsidR="001D7B22" w:rsidRDefault="001D7B22" w:rsidP="00D762FD">
      <w:pPr>
        <w:pStyle w:val="FootnoteText"/>
        <w:ind w:left="-720"/>
      </w:pPr>
    </w:p>
  </w:footnote>
  <w:footnote w:id="4">
    <w:p w14:paraId="2FD3A4B9" w14:textId="77777777" w:rsidR="001D7B22" w:rsidRDefault="001D7B22" w:rsidP="00C85BB4">
      <w:pPr>
        <w:pStyle w:val="FootnoteText"/>
        <w:ind w:left="-720"/>
      </w:pPr>
      <w:r>
        <w:rPr>
          <w:rStyle w:val="FootnoteReference"/>
        </w:rPr>
        <w:footnoteRef/>
      </w:r>
      <w:r>
        <w:t xml:space="preserve"> AVM testing requires that selling prices be known and meet the requirements to represent the best </w:t>
      </w:r>
      <w:r>
        <w:tab/>
      </w:r>
    </w:p>
    <w:p w14:paraId="65631A15" w14:textId="5DE5A499" w:rsidR="001D7B22" w:rsidRDefault="001D7B22" w:rsidP="00C85BB4">
      <w:pPr>
        <w:pStyle w:val="FootnoteText"/>
        <w:ind w:left="-720"/>
      </w:pPr>
      <w:r>
        <w:t xml:space="preserve">indicator of the market value of each property.  See </w:t>
      </w:r>
      <w:bookmarkStart w:id="3" w:name="_Hlk40942823"/>
      <w:r>
        <w:t xml:space="preserve">IAAO (2013, Appendix A – Sales Validation </w:t>
      </w:r>
      <w:r>
        <w:tab/>
      </w:r>
    </w:p>
    <w:p w14:paraId="7CE08235" w14:textId="0704E191" w:rsidR="001D7B22" w:rsidRPr="00E50AA5" w:rsidRDefault="001D7B22" w:rsidP="00C85BB4">
      <w:pPr>
        <w:pStyle w:val="FootnoteText"/>
        <w:ind w:left="-720"/>
        <w:rPr>
          <w:rFonts w:asciiTheme="majorHAnsi" w:hAnsiTheme="majorHAnsi" w:cstheme="majorHAnsi"/>
          <w:highlight w:val="yellow"/>
        </w:rPr>
      </w:pPr>
      <w:r>
        <w:t xml:space="preserve">Guidelines) and  IAAO (2020). </w:t>
      </w:r>
      <w:bookmarkEnd w:id="3"/>
    </w:p>
  </w:footnote>
  <w:footnote w:id="5">
    <w:p w14:paraId="4A9A6123" w14:textId="109E8BFE" w:rsidR="001D7B22" w:rsidRDefault="001D7B22" w:rsidP="002C5A99">
      <w:pPr>
        <w:pStyle w:val="FootnoteText"/>
        <w:ind w:firstLine="0"/>
      </w:pPr>
    </w:p>
  </w:footnote>
  <w:footnote w:id="6">
    <w:p w14:paraId="3250C0B5" w14:textId="597EF92F" w:rsidR="001D7B22" w:rsidRDefault="001D7B22" w:rsidP="002F7D38">
      <w:pPr>
        <w:pStyle w:val="FootnoteText"/>
        <w:ind w:firstLine="0"/>
      </w:pPr>
      <w:r>
        <w:rPr>
          <w:rStyle w:val="FootnoteReference"/>
        </w:rPr>
        <w:footnoteRef/>
      </w:r>
      <w:r>
        <w:t xml:space="preserve">  </w:t>
      </w:r>
      <w:r w:rsidRPr="008F4226">
        <w:rPr>
          <w:rFonts w:ascii="Times New Roman" w:hAnsi="Times New Roman" w:cs="Times New Roman"/>
        </w:rPr>
        <w:t>Interagency Appraisal and Evaluation Guidelines</w:t>
      </w:r>
      <w:r>
        <w:rPr>
          <w:rFonts w:ascii="Times New Roman" w:hAnsi="Times New Roman" w:cs="Times New Roman"/>
        </w:rPr>
        <w:t xml:space="preserve"> (</w:t>
      </w:r>
      <w:r w:rsidRPr="008F4226">
        <w:rPr>
          <w:rFonts w:ascii="Times New Roman" w:hAnsi="Times New Roman" w:cs="Times New Roman"/>
        </w:rPr>
        <w:t>2010</w:t>
      </w:r>
      <w:r>
        <w:rPr>
          <w:rFonts w:ascii="Times New Roman" w:hAnsi="Times New Roman" w:cs="Times New Roman"/>
        </w:rPr>
        <w:t>)</w:t>
      </w:r>
      <w:r w:rsidRPr="008F4226">
        <w:rPr>
          <w:rFonts w:ascii="Times New Roman" w:hAnsi="Times New Roman" w:cs="Times New Roman"/>
        </w:rPr>
        <w:t xml:space="preserve">, </w:t>
      </w:r>
      <w:r>
        <w:rPr>
          <w:rFonts w:ascii="Times New Roman" w:hAnsi="Times New Roman" w:cs="Times New Roman"/>
        </w:rPr>
        <w:t>Appendix B.</w:t>
      </w:r>
    </w:p>
  </w:footnote>
  <w:footnote w:id="7">
    <w:p w14:paraId="0A12FD6A" w14:textId="002C7749" w:rsidR="001D7B22" w:rsidRDefault="001D7B22" w:rsidP="002F7D38">
      <w:pPr>
        <w:pStyle w:val="FootnoteText"/>
        <w:ind w:firstLine="0"/>
      </w:pPr>
      <w:r>
        <w:rPr>
          <w:rStyle w:val="FootnoteReference"/>
        </w:rPr>
        <w:footnoteRef/>
      </w:r>
      <w:r>
        <w:t xml:space="preserve"> </w:t>
      </w:r>
      <w:r>
        <w:rPr>
          <w:rFonts w:ascii="Times New Roman" w:hAnsi="Times New Roman" w:cs="Times New Roman"/>
        </w:rPr>
        <w:t>Allen (2009), p. 1</w:t>
      </w:r>
    </w:p>
  </w:footnote>
  <w:footnote w:id="8">
    <w:p w14:paraId="42DE2A4C" w14:textId="65A1407B" w:rsidR="001D7B22" w:rsidRDefault="001D7B22" w:rsidP="00FA4850">
      <w:pPr>
        <w:pStyle w:val="FootnoteText"/>
        <w:ind w:firstLine="0"/>
      </w:pPr>
      <w:r>
        <w:rPr>
          <w:rStyle w:val="FootnoteReference"/>
        </w:rPr>
        <w:footnoteRef/>
      </w:r>
      <w:r>
        <w:t xml:space="preserve"> </w:t>
      </w:r>
      <w:r w:rsidRPr="006041C7">
        <w:rPr>
          <w:rFonts w:cstheme="minorHAnsi"/>
        </w:rPr>
        <w:t xml:space="preserve">AVMetrics, </w:t>
      </w:r>
      <w:r>
        <w:rPr>
          <w:rFonts w:cstheme="minorHAnsi"/>
        </w:rPr>
        <w:t>(</w:t>
      </w:r>
      <w:r w:rsidRPr="006041C7">
        <w:rPr>
          <w:rFonts w:cstheme="minorHAnsi"/>
        </w:rPr>
        <w:t>20</w:t>
      </w:r>
      <w:r>
        <w:rPr>
          <w:rFonts w:cstheme="minorHAnsi"/>
        </w:rPr>
        <w:t>21).</w:t>
      </w:r>
    </w:p>
  </w:footnote>
  <w:footnote w:id="9">
    <w:p w14:paraId="7A26EDCF" w14:textId="64B0637D" w:rsidR="001D7B22" w:rsidRDefault="001D7B22" w:rsidP="007656B7">
      <w:pPr>
        <w:pStyle w:val="FootnoteText"/>
        <w:ind w:firstLine="0"/>
      </w:pPr>
      <w:r>
        <w:rPr>
          <w:rStyle w:val="FootnoteReference"/>
        </w:rPr>
        <w:footnoteRef/>
      </w:r>
      <w:r>
        <w:t xml:space="preserve"> </w:t>
      </w:r>
      <w:r>
        <w:rPr>
          <w:rFonts w:asciiTheme="majorHAnsi" w:hAnsiTheme="majorHAnsi" w:cstheme="majorHAnsi"/>
        </w:rPr>
        <w:t xml:space="preserve">See </w:t>
      </w:r>
      <w:r w:rsidRPr="00CB2652">
        <w:rPr>
          <w:rFonts w:asciiTheme="majorHAnsi" w:hAnsiTheme="majorHAnsi" w:cstheme="majorHAnsi"/>
        </w:rPr>
        <w:t>IAAO</w:t>
      </w:r>
      <w:r>
        <w:rPr>
          <w:rFonts w:asciiTheme="majorHAnsi" w:hAnsiTheme="majorHAnsi" w:cstheme="majorHAnsi"/>
        </w:rPr>
        <w:t xml:space="preserve"> (</w:t>
      </w:r>
      <w:r w:rsidRPr="00CB2652">
        <w:rPr>
          <w:rFonts w:asciiTheme="majorHAnsi" w:hAnsiTheme="majorHAnsi" w:cstheme="majorHAnsi"/>
        </w:rPr>
        <w:t>2013</w:t>
      </w:r>
      <w:r>
        <w:rPr>
          <w:rFonts w:asciiTheme="majorHAnsi" w:hAnsiTheme="majorHAnsi" w:cstheme="majorHAnsi"/>
        </w:rPr>
        <w:t>)</w:t>
      </w:r>
      <w:r w:rsidRPr="00CB2652">
        <w:rPr>
          <w:rFonts w:asciiTheme="majorHAnsi" w:hAnsiTheme="majorHAnsi" w:cstheme="majorHAnsi"/>
        </w:rPr>
        <w:t>, Appendix A</w:t>
      </w:r>
      <w:r>
        <w:rPr>
          <w:rFonts w:asciiTheme="majorHAnsi" w:hAnsiTheme="majorHAnsi" w:cstheme="majorHAnsi"/>
        </w:rPr>
        <w:t xml:space="preserve"> - </w:t>
      </w:r>
      <w:r w:rsidRPr="00CB2652">
        <w:rPr>
          <w:rFonts w:asciiTheme="majorHAnsi" w:hAnsiTheme="majorHAnsi" w:cstheme="majorHAnsi"/>
        </w:rPr>
        <w:t>Sales Validation Guidelines</w:t>
      </w:r>
      <w:r>
        <w:rPr>
          <w:rFonts w:asciiTheme="majorHAnsi" w:hAnsiTheme="majorHAnsi" w:cstheme="majorHAnsi"/>
        </w:rPr>
        <w:t xml:space="preserve"> or IAAO (2020).</w:t>
      </w:r>
    </w:p>
  </w:footnote>
  <w:footnote w:id="10">
    <w:p w14:paraId="7F45857B" w14:textId="41F00718" w:rsidR="001D7B22" w:rsidRDefault="001D7B22" w:rsidP="007656B7">
      <w:pPr>
        <w:pStyle w:val="FootnoteText"/>
        <w:ind w:firstLine="0"/>
      </w:pPr>
      <w:r>
        <w:rPr>
          <w:rStyle w:val="FootnoteReference"/>
        </w:rPr>
        <w:footnoteRef/>
      </w:r>
      <w:r>
        <w:t xml:space="preserve"> </w:t>
      </w:r>
      <w:r w:rsidRPr="00B327E2">
        <w:rPr>
          <w:rFonts w:asciiTheme="majorHAnsi" w:hAnsiTheme="majorHAnsi" w:cstheme="majorHAnsi"/>
        </w:rPr>
        <w:t>CRC</w:t>
      </w:r>
      <w:r>
        <w:rPr>
          <w:rFonts w:asciiTheme="majorHAnsi" w:hAnsiTheme="majorHAnsi" w:cstheme="majorHAnsi"/>
        </w:rPr>
        <w:t xml:space="preserve"> (</w:t>
      </w:r>
      <w:r w:rsidRPr="00B327E2">
        <w:rPr>
          <w:rFonts w:asciiTheme="majorHAnsi" w:hAnsiTheme="majorHAnsi" w:cstheme="majorHAnsi"/>
        </w:rPr>
        <w:t>2003</w:t>
      </w:r>
      <w:r>
        <w:rPr>
          <w:rFonts w:asciiTheme="majorHAnsi" w:hAnsiTheme="majorHAnsi" w:cstheme="majorHAnsi"/>
        </w:rPr>
        <w:t>)</w:t>
      </w:r>
      <w:r w:rsidRPr="00B327E2">
        <w:rPr>
          <w:rFonts w:asciiTheme="majorHAnsi" w:hAnsiTheme="majorHAnsi" w:cstheme="majorHAnsi"/>
        </w:rPr>
        <w:t>, p. 12</w:t>
      </w:r>
      <w:r>
        <w:rPr>
          <w:rFonts w:asciiTheme="majorHAnsi" w:hAnsiTheme="majorHAnsi" w:cstheme="majorHAnsi"/>
        </w:rPr>
        <w:t>.</w:t>
      </w:r>
    </w:p>
  </w:footnote>
  <w:footnote w:id="11">
    <w:p w14:paraId="1B441E2F" w14:textId="5F0B0C43" w:rsidR="001D7B22" w:rsidRPr="00E50AA5" w:rsidRDefault="001D7B22" w:rsidP="007656B7">
      <w:pPr>
        <w:pStyle w:val="FootnoteText"/>
        <w:ind w:firstLine="0"/>
        <w:rPr>
          <w:rFonts w:cstheme="minorHAnsi"/>
        </w:rPr>
      </w:pPr>
      <w:r>
        <w:rPr>
          <w:rStyle w:val="FootnoteReference"/>
        </w:rPr>
        <w:footnoteRef/>
      </w:r>
      <w:r>
        <w:t xml:space="preserve"> </w:t>
      </w:r>
      <w:r w:rsidRPr="00A76664">
        <w:rPr>
          <w:rFonts w:cstheme="minorHAnsi"/>
        </w:rPr>
        <w:t xml:space="preserve">AVMetrics </w:t>
      </w:r>
      <w:r>
        <w:rPr>
          <w:rFonts w:cstheme="minorHAnsi"/>
        </w:rPr>
        <w:t>m</w:t>
      </w:r>
      <w:r w:rsidRPr="00A76664">
        <w:rPr>
          <w:rFonts w:cstheme="minorHAnsi"/>
        </w:rPr>
        <w:t xml:space="preserve">akes considerable proprietary effort to uncover whether the property’s selling price is truly unknown to the AVM that is valuing it, </w:t>
      </w:r>
      <w:r>
        <w:rPr>
          <w:rFonts w:cstheme="minorHAnsi"/>
        </w:rPr>
        <w:t>in addition to</w:t>
      </w:r>
      <w:r w:rsidRPr="00A76664">
        <w:rPr>
          <w:rFonts w:cstheme="minorHAnsi"/>
        </w:rPr>
        <w:t xml:space="preserve"> having the vendor report the last</w:t>
      </w:r>
      <w:r>
        <w:rPr>
          <w:rFonts w:cstheme="minorHAnsi"/>
        </w:rPr>
        <w:t xml:space="preserve"> </w:t>
      </w:r>
      <w:r w:rsidRPr="00A76664">
        <w:rPr>
          <w:rFonts w:cstheme="minorHAnsi"/>
        </w:rPr>
        <w:t xml:space="preserve">known selling </w:t>
      </w:r>
      <w:r w:rsidRPr="00E50AA5">
        <w:rPr>
          <w:rFonts w:cstheme="minorHAnsi"/>
        </w:rPr>
        <w:t>price (and date) for each benchmark property being valued.</w:t>
      </w:r>
    </w:p>
  </w:footnote>
  <w:footnote w:id="12">
    <w:p w14:paraId="39140FE0" w14:textId="070E1912" w:rsidR="001D7B22" w:rsidRPr="00E50AA5" w:rsidRDefault="001D7B22" w:rsidP="007656B7">
      <w:pPr>
        <w:pStyle w:val="FootnoteText"/>
        <w:ind w:firstLine="0"/>
      </w:pPr>
      <w:r w:rsidRPr="00E50AA5">
        <w:rPr>
          <w:rStyle w:val="FootnoteReference"/>
        </w:rPr>
        <w:footnoteRef/>
      </w:r>
      <w:r w:rsidRPr="00E50AA5">
        <w:t xml:space="preserve"> </w:t>
      </w:r>
      <w:r w:rsidRPr="00E50AA5">
        <w:rPr>
          <w:rFonts w:asciiTheme="majorHAnsi" w:hAnsiTheme="majorHAnsi" w:cstheme="majorHAnsi"/>
        </w:rPr>
        <w:t>AVMetrics (2018), p. 3.</w:t>
      </w:r>
    </w:p>
  </w:footnote>
  <w:footnote w:id="13">
    <w:p w14:paraId="22EE1512" w14:textId="77777777" w:rsidR="008A0305" w:rsidRDefault="001D7B22" w:rsidP="00E50AA5">
      <w:pPr>
        <w:pStyle w:val="FootnoteText"/>
        <w:ind w:left="-720"/>
        <w:rPr>
          <w:rFonts w:asciiTheme="majorHAnsi" w:hAnsiTheme="majorHAnsi" w:cstheme="majorHAnsi"/>
        </w:rPr>
      </w:pPr>
      <w:r w:rsidRPr="00E50AA5">
        <w:rPr>
          <w:rStyle w:val="FootnoteReference"/>
        </w:rPr>
        <w:footnoteRef/>
      </w:r>
      <w:r w:rsidRPr="00E50AA5">
        <w:t xml:space="preserve"> See </w:t>
      </w:r>
      <w:r w:rsidRPr="00E50AA5">
        <w:rPr>
          <w:rFonts w:asciiTheme="majorHAnsi" w:hAnsiTheme="majorHAnsi" w:cstheme="majorHAnsi"/>
          <w:szCs w:val="22"/>
          <w:lang w:val="en"/>
        </w:rPr>
        <w:t xml:space="preserve">Steurer and Hill (2020) and </w:t>
      </w:r>
      <w:r w:rsidRPr="00E50AA5">
        <w:rPr>
          <w:rFonts w:asciiTheme="majorHAnsi" w:hAnsiTheme="majorHAnsi" w:cstheme="majorHAnsi"/>
        </w:rPr>
        <w:t>Ecker,</w:t>
      </w:r>
      <w:r w:rsidR="00D84ABA">
        <w:rPr>
          <w:rFonts w:asciiTheme="majorHAnsi" w:hAnsiTheme="majorHAnsi" w:cstheme="majorHAnsi"/>
        </w:rPr>
        <w:t xml:space="preserve"> et al.</w:t>
      </w:r>
      <w:r w:rsidRPr="00E50AA5">
        <w:rPr>
          <w:rFonts w:asciiTheme="majorHAnsi" w:hAnsiTheme="majorHAnsi" w:cstheme="majorHAnsi"/>
        </w:rPr>
        <w:t xml:space="preserve"> (2021) for a comprehensive list and </w:t>
      </w:r>
      <w:r w:rsidR="008A0305">
        <w:rPr>
          <w:rFonts w:asciiTheme="majorHAnsi" w:hAnsiTheme="majorHAnsi" w:cstheme="majorHAnsi"/>
        </w:rPr>
        <w:t xml:space="preserve">additional </w:t>
      </w:r>
      <w:r w:rsidRPr="00E50AA5">
        <w:rPr>
          <w:rFonts w:asciiTheme="majorHAnsi" w:hAnsiTheme="majorHAnsi" w:cstheme="majorHAnsi"/>
        </w:rPr>
        <w:t xml:space="preserve">discussion </w:t>
      </w:r>
      <w:r w:rsidR="008A0305">
        <w:rPr>
          <w:rFonts w:asciiTheme="majorHAnsi" w:hAnsiTheme="majorHAnsi" w:cstheme="majorHAnsi"/>
        </w:rPr>
        <w:tab/>
      </w:r>
    </w:p>
    <w:p w14:paraId="697A0E11" w14:textId="18891B7D" w:rsidR="001D7B22" w:rsidRPr="00D84ABA" w:rsidRDefault="001D7B22" w:rsidP="00E50AA5">
      <w:pPr>
        <w:pStyle w:val="FootnoteText"/>
        <w:ind w:left="-720"/>
        <w:rPr>
          <w:rFonts w:asciiTheme="majorHAnsi" w:hAnsiTheme="majorHAnsi" w:cstheme="majorHAnsi"/>
        </w:rPr>
      </w:pPr>
      <w:r w:rsidRPr="00E50AA5">
        <w:rPr>
          <w:rFonts w:asciiTheme="majorHAnsi" w:hAnsiTheme="majorHAnsi" w:cstheme="majorHAnsi"/>
        </w:rPr>
        <w:t>of AVM Performance Metrics.</w:t>
      </w:r>
    </w:p>
  </w:footnote>
  <w:footnote w:id="14">
    <w:p w14:paraId="6D6095B3" w14:textId="50BB1FF3" w:rsidR="001D7B22" w:rsidRDefault="001D7B22" w:rsidP="0014410B">
      <w:pPr>
        <w:pStyle w:val="FootnoteText"/>
        <w:ind w:firstLine="0"/>
      </w:pPr>
      <w:r>
        <w:rPr>
          <w:rStyle w:val="FootnoteReference"/>
        </w:rPr>
        <w:footnoteRef/>
      </w:r>
      <w:r>
        <w:t xml:space="preserve"> </w:t>
      </w:r>
      <w:r>
        <w:rPr>
          <w:rFonts w:ascii="Times New Roman" w:hAnsi="Times New Roman" w:cs="Times New Roman"/>
        </w:rPr>
        <w:t xml:space="preserve">Ecker, </w:t>
      </w:r>
      <w:r w:rsidR="00D84ABA">
        <w:rPr>
          <w:rFonts w:ascii="Times New Roman" w:hAnsi="Times New Roman" w:cs="Times New Roman"/>
        </w:rPr>
        <w:t>et al.</w:t>
      </w:r>
      <w:r>
        <w:rPr>
          <w:rFonts w:ascii="Times New Roman" w:hAnsi="Times New Roman" w:cs="Times New Roman"/>
        </w:rPr>
        <w:t xml:space="preserve"> (2021).</w:t>
      </w:r>
    </w:p>
  </w:footnote>
  <w:footnote w:id="15">
    <w:p w14:paraId="2E4D830A" w14:textId="76460135" w:rsidR="001D7B22" w:rsidRDefault="001D7B22" w:rsidP="0014410B">
      <w:pPr>
        <w:pStyle w:val="FootnoteText"/>
        <w:ind w:firstLine="0"/>
      </w:pPr>
      <w:r>
        <w:rPr>
          <w:rStyle w:val="FootnoteReference"/>
        </w:rPr>
        <w:footnoteRef/>
      </w:r>
      <w:r>
        <w:t xml:space="preserve"> </w:t>
      </w:r>
      <w:r w:rsidRPr="00996C9A">
        <w:rPr>
          <w:rFonts w:ascii="Times New Roman" w:hAnsi="Times New Roman" w:cs="Times New Roman"/>
        </w:rPr>
        <w:t xml:space="preserve">Gayler </w:t>
      </w:r>
      <w:r>
        <w:rPr>
          <w:rFonts w:ascii="Times New Roman" w:hAnsi="Times New Roman" w:cs="Times New Roman"/>
          <w:i/>
        </w:rPr>
        <w:t>et al.</w:t>
      </w:r>
      <w:r w:rsidRPr="00996C9A">
        <w:rPr>
          <w:rFonts w:ascii="Times New Roman" w:hAnsi="Times New Roman" w:cs="Times New Roman"/>
          <w:i/>
        </w:rPr>
        <w:t xml:space="preserve"> </w:t>
      </w:r>
      <w:r>
        <w:rPr>
          <w:rFonts w:ascii="Times New Roman" w:hAnsi="Times New Roman" w:cs="Times New Roman"/>
          <w:i/>
        </w:rPr>
        <w:t>(</w:t>
      </w:r>
      <w:r w:rsidRPr="00996C9A">
        <w:rPr>
          <w:rFonts w:ascii="Times New Roman" w:hAnsi="Times New Roman" w:cs="Times New Roman"/>
        </w:rPr>
        <w:t>2015</w:t>
      </w:r>
      <w:r>
        <w:rPr>
          <w:rFonts w:ascii="Times New Roman" w:hAnsi="Times New Roman" w:cs="Times New Roman"/>
        </w:rPr>
        <w:t>)</w:t>
      </w:r>
      <w:r w:rsidRPr="00996C9A">
        <w:rPr>
          <w:rFonts w:ascii="Times New Roman" w:hAnsi="Times New Roman" w:cs="Times New Roman"/>
        </w:rPr>
        <w:t>, p. 5</w:t>
      </w:r>
      <w:r>
        <w:rPr>
          <w:rFonts w:ascii="Times New Roman" w:hAnsi="Times New Roman" w:cs="Times New Roman"/>
        </w:rPr>
        <w:t>.</w:t>
      </w:r>
    </w:p>
  </w:footnote>
  <w:footnote w:id="16">
    <w:p w14:paraId="5C35AD1E" w14:textId="617F01F2" w:rsidR="001D7B22" w:rsidRDefault="001D7B22" w:rsidP="00D10741">
      <w:pPr>
        <w:pStyle w:val="FootnoteText"/>
        <w:ind w:firstLine="0"/>
      </w:pPr>
      <w:r>
        <w:rPr>
          <w:rStyle w:val="FootnoteReference"/>
        </w:rPr>
        <w:footnoteRef/>
      </w:r>
      <w:r>
        <w:t xml:space="preserve"> </w:t>
      </w:r>
      <w:r w:rsidR="00400E3B">
        <w:rPr>
          <w:rFonts w:asciiTheme="majorHAnsi" w:hAnsiTheme="majorHAnsi" w:cstheme="majorHAnsi"/>
        </w:rPr>
        <w:t>Isakson</w:t>
      </w:r>
      <w:r w:rsidR="00D84ABA">
        <w:rPr>
          <w:rFonts w:asciiTheme="majorHAnsi" w:hAnsiTheme="majorHAnsi" w:cstheme="majorHAnsi"/>
        </w:rPr>
        <w:t xml:space="preserve"> et al.</w:t>
      </w:r>
      <w:r>
        <w:rPr>
          <w:rFonts w:asciiTheme="majorHAnsi" w:hAnsiTheme="majorHAnsi" w:cstheme="majorHAnsi"/>
        </w:rPr>
        <w:t xml:space="preserve"> (202</w:t>
      </w:r>
      <w:r w:rsidR="00400E3B">
        <w:rPr>
          <w:rFonts w:asciiTheme="majorHAnsi" w:hAnsiTheme="majorHAnsi" w:cstheme="majorHAnsi"/>
        </w:rPr>
        <w:t>0</w:t>
      </w:r>
      <w:r>
        <w:rPr>
          <w:rFonts w:asciiTheme="majorHAnsi" w:hAnsiTheme="majorHAnsi" w:cstheme="majorHAnsi"/>
        </w:rPr>
        <w:t>).</w:t>
      </w:r>
    </w:p>
  </w:footnote>
  <w:footnote w:id="17">
    <w:p w14:paraId="234B2982" w14:textId="0E23E291" w:rsidR="00BA0B04" w:rsidRDefault="001D7B22" w:rsidP="006A04E0">
      <w:pPr>
        <w:pStyle w:val="FootnoteText"/>
        <w:ind w:left="-720"/>
        <w:rPr>
          <w:rFonts w:ascii="Times New Roman" w:eastAsia="SimSun" w:hAnsi="Times New Roman" w:cs="Times New Roman"/>
          <w:color w:val="000000"/>
        </w:rPr>
      </w:pPr>
      <w:r w:rsidRPr="00515A70">
        <w:rPr>
          <w:rStyle w:val="FootnoteReference"/>
        </w:rPr>
        <w:footnoteRef/>
      </w:r>
      <w:r w:rsidRPr="00515A70">
        <w:t xml:space="preserve"> </w:t>
      </w:r>
      <w:r w:rsidRPr="00515A70">
        <w:rPr>
          <w:rFonts w:ascii="Times New Roman" w:eastAsia="SimSun" w:hAnsi="Times New Roman" w:cs="Times New Roman"/>
          <w:color w:val="000000"/>
        </w:rPr>
        <w:t>An Observed Standard Deviation</w:t>
      </w:r>
      <w:r w:rsidR="00515A70">
        <w:rPr>
          <w:rFonts w:ascii="Times New Roman" w:eastAsia="SimSun" w:hAnsi="Times New Roman" w:cs="Times New Roman"/>
          <w:color w:val="000000"/>
        </w:rPr>
        <w:t xml:space="preserve"> </w:t>
      </w:r>
      <w:r w:rsidRPr="00515A70">
        <w:rPr>
          <w:rFonts w:ascii="Times New Roman" w:eastAsia="SimSun" w:hAnsi="Times New Roman" w:cs="Times New Roman"/>
          <w:color w:val="000000"/>
        </w:rPr>
        <w:t xml:space="preserve">is the standard deviation of </w:t>
      </w:r>
      <w:r w:rsidR="00515A70">
        <w:rPr>
          <w:rFonts w:ascii="Times New Roman" w:eastAsia="SimSun" w:hAnsi="Times New Roman" w:cs="Times New Roman"/>
          <w:color w:val="000000"/>
        </w:rPr>
        <w:t>a set of</w:t>
      </w:r>
      <w:r w:rsidRPr="00515A70">
        <w:rPr>
          <w:rFonts w:ascii="Times New Roman" w:eastAsia="SimSun" w:hAnsi="Times New Roman" w:cs="Times New Roman"/>
          <w:color w:val="000000"/>
        </w:rPr>
        <w:t xml:space="preserve"> percentage sales</w:t>
      </w:r>
      <w:r w:rsidR="00BA0B04">
        <w:rPr>
          <w:rFonts w:ascii="Times New Roman" w:eastAsia="SimSun" w:hAnsi="Times New Roman" w:cs="Times New Roman"/>
          <w:color w:val="000000"/>
        </w:rPr>
        <w:t xml:space="preserve"> </w:t>
      </w:r>
      <w:r w:rsidRPr="00515A70">
        <w:rPr>
          <w:rFonts w:ascii="Times New Roman" w:eastAsia="SimSun" w:hAnsi="Times New Roman" w:cs="Times New Roman"/>
          <w:color w:val="000000"/>
        </w:rPr>
        <w:t xml:space="preserve">errors, </w:t>
      </w:r>
      <w:r w:rsidR="00515A70" w:rsidRPr="00515A70">
        <w:rPr>
          <w:rFonts w:ascii="Times New Roman" w:eastAsia="SimSun" w:hAnsi="Times New Roman" w:cs="Times New Roman"/>
          <w:color w:val="000000"/>
        </w:rPr>
        <w:t>calculated</w:t>
      </w:r>
      <w:r w:rsidR="00515A70">
        <w:rPr>
          <w:rFonts w:ascii="Times New Roman" w:eastAsia="SimSun" w:hAnsi="Times New Roman" w:cs="Times New Roman"/>
          <w:color w:val="000000"/>
        </w:rPr>
        <w:t xml:space="preserve"> </w:t>
      </w:r>
      <w:r w:rsidR="00BA0B04">
        <w:rPr>
          <w:rFonts w:ascii="Times New Roman" w:eastAsia="SimSun" w:hAnsi="Times New Roman" w:cs="Times New Roman"/>
          <w:color w:val="000000"/>
        </w:rPr>
        <w:tab/>
        <w:t xml:space="preserve">             </w:t>
      </w:r>
      <w:r w:rsidRPr="00515A70">
        <w:rPr>
          <w:rFonts w:ascii="Times New Roman" w:eastAsia="SimSun" w:hAnsi="Times New Roman" w:cs="Times New Roman"/>
          <w:color w:val="000000"/>
        </w:rPr>
        <w:t xml:space="preserve">from actual sales data. </w:t>
      </w:r>
      <w:r w:rsidR="00737A05">
        <w:rPr>
          <w:rFonts w:ascii="Times New Roman" w:eastAsia="SimSun" w:hAnsi="Times New Roman" w:cs="Times New Roman"/>
          <w:color w:val="000000"/>
        </w:rPr>
        <w:t xml:space="preserve">The Observed Standard Deviation </w:t>
      </w:r>
      <w:r w:rsidR="00BA0B04">
        <w:rPr>
          <w:rFonts w:ascii="Times New Roman" w:eastAsia="SimSun" w:hAnsi="Times New Roman" w:cs="Times New Roman"/>
          <w:color w:val="000000"/>
        </w:rPr>
        <w:t>is</w:t>
      </w:r>
      <w:r w:rsidRPr="00515A70">
        <w:rPr>
          <w:rFonts w:ascii="Times New Roman" w:eastAsia="SimSun" w:hAnsi="Times New Roman" w:cs="Times New Roman"/>
          <w:color w:val="000000"/>
        </w:rPr>
        <w:t xml:space="preserve"> then compared to the vendor-reported FSD by </w:t>
      </w:r>
    </w:p>
    <w:p w14:paraId="0A03EB52" w14:textId="2167DB33" w:rsidR="001D7B22" w:rsidRPr="0088031E" w:rsidRDefault="001D7B22" w:rsidP="006A04E0">
      <w:pPr>
        <w:pStyle w:val="FootnoteText"/>
        <w:ind w:left="-720"/>
        <w:rPr>
          <w:rFonts w:ascii="Times New Roman" w:eastAsia="SimSun" w:hAnsi="Times New Roman" w:cs="Times New Roman"/>
          <w:color w:val="000000"/>
        </w:rPr>
      </w:pPr>
      <w:r w:rsidRPr="00515A70">
        <w:t>third-parties, such as</w:t>
      </w:r>
      <w:r w:rsidR="00515A70">
        <w:t xml:space="preserve"> </w:t>
      </w:r>
      <w:r w:rsidRPr="00515A70">
        <w:t>AVMetrics.</w:t>
      </w:r>
      <w:r w:rsidRPr="0013412A">
        <w:rPr>
          <w:rFonts w:ascii="Times New Roman" w:eastAsia="SimSun" w:hAnsi="Times New Roman" w:cs="Times New Roman"/>
          <w:color w:val="000000"/>
        </w:rPr>
        <w:t xml:space="preserve"> </w:t>
      </w:r>
    </w:p>
  </w:footnote>
  <w:footnote w:id="18">
    <w:p w14:paraId="6D0E3611" w14:textId="77777777" w:rsidR="001D7B22" w:rsidRDefault="001D7B22" w:rsidP="00D83758">
      <w:pPr>
        <w:pStyle w:val="FootnoteText"/>
        <w:ind w:left="-720"/>
      </w:pPr>
      <w:r>
        <w:rPr>
          <w:rStyle w:val="FootnoteReference"/>
        </w:rPr>
        <w:footnoteRef/>
      </w:r>
      <w:r>
        <w:t xml:space="preserve"> </w:t>
      </w:r>
      <w:r w:rsidRPr="009E7AB4">
        <w:t>Freddie Mac (2019)</w:t>
      </w:r>
      <w:r>
        <w:t xml:space="preserve"> assigns a qualitative grade of </w:t>
      </w:r>
      <w:r w:rsidRPr="00945892">
        <w:t xml:space="preserve"> ‘High’, ‘Medium’ or ‘Low Confidence’ </w:t>
      </w:r>
      <w:r>
        <w:t>for</w:t>
      </w:r>
      <w:r w:rsidRPr="00945892">
        <w:t xml:space="preserve"> the </w:t>
      </w:r>
      <w:r>
        <w:t xml:space="preserve">value </w:t>
      </w:r>
    </w:p>
    <w:p w14:paraId="33CC9BF1" w14:textId="1E8CEE35" w:rsidR="001D7B22" w:rsidRDefault="001D7B22" w:rsidP="00D83758">
      <w:pPr>
        <w:pStyle w:val="FootnoteText"/>
        <w:ind w:left="-720"/>
      </w:pPr>
      <w:r>
        <w:t xml:space="preserve">of the </w:t>
      </w:r>
      <w:r w:rsidRPr="00945892">
        <w:t>FSD</w:t>
      </w:r>
      <w:r>
        <w:t xml:space="preserve"> </w:t>
      </w:r>
      <w:r w:rsidRPr="00945892">
        <w:t>generated by its Home Value Explorer</w:t>
      </w:r>
      <w:r w:rsidRPr="00945892">
        <w:rPr>
          <w:rFonts w:cstheme="minorHAnsi"/>
        </w:rPr>
        <w:t>®</w:t>
      </w:r>
      <w:r w:rsidRPr="00945892">
        <w:t xml:space="preserve"> (HVE</w:t>
      </w:r>
      <w:r w:rsidRPr="00945892">
        <w:rPr>
          <w:rFonts w:cstheme="minorHAnsi"/>
        </w:rPr>
        <w:t>®</w:t>
      </w:r>
      <w:r w:rsidRPr="00945892">
        <w:t>) AVM.</w:t>
      </w:r>
    </w:p>
  </w:footnote>
  <w:footnote w:id="19">
    <w:p w14:paraId="40B5F5CB" w14:textId="45393E23" w:rsidR="001D7B22" w:rsidRDefault="001D7B22" w:rsidP="00BB6C67">
      <w:pPr>
        <w:pStyle w:val="FootnoteText"/>
        <w:ind w:firstLine="0"/>
      </w:pPr>
      <w:r>
        <w:rPr>
          <w:rStyle w:val="FootnoteReference"/>
        </w:rPr>
        <w:footnoteRef/>
      </w:r>
      <w:r>
        <w:t xml:space="preserve"> </w:t>
      </w:r>
      <w:r>
        <w:rPr>
          <w:rFonts w:asciiTheme="majorHAnsi" w:hAnsiTheme="majorHAnsi" w:cstheme="majorHAnsi"/>
          <w:lang w:val="en"/>
        </w:rPr>
        <w:t xml:space="preserve">Johnson and Wichern (2007), Chapter 8 and </w:t>
      </w:r>
      <w:r w:rsidRPr="004241B6">
        <w:rPr>
          <w:rFonts w:asciiTheme="majorHAnsi" w:hAnsiTheme="majorHAnsi" w:cstheme="majorHAnsi"/>
          <w:lang w:val="en"/>
        </w:rPr>
        <w:t>Vyas and Kumaranayake</w:t>
      </w:r>
      <w:r>
        <w:rPr>
          <w:rFonts w:asciiTheme="majorHAnsi" w:hAnsiTheme="majorHAnsi" w:cstheme="majorHAnsi"/>
          <w:lang w:val="en"/>
        </w:rPr>
        <w:t xml:space="preserve"> (</w:t>
      </w:r>
      <w:r w:rsidRPr="004241B6">
        <w:rPr>
          <w:rFonts w:asciiTheme="majorHAnsi" w:hAnsiTheme="majorHAnsi" w:cstheme="majorHAnsi"/>
          <w:lang w:val="en"/>
        </w:rPr>
        <w:t>2006</w:t>
      </w:r>
      <w:r>
        <w:rPr>
          <w:rFonts w:asciiTheme="majorHAnsi" w:hAnsiTheme="majorHAnsi" w:cstheme="majorHAnsi"/>
          <w:lang w:val="en"/>
        </w:rPr>
        <w:t>).</w:t>
      </w:r>
    </w:p>
  </w:footnote>
  <w:footnote w:id="20">
    <w:p w14:paraId="66C042A2" w14:textId="77777777" w:rsidR="001D7B22" w:rsidRDefault="001D7B22" w:rsidP="00573AEE">
      <w:pPr>
        <w:pStyle w:val="FootnoteText"/>
        <w:ind w:left="-720"/>
      </w:pPr>
      <w:r>
        <w:rPr>
          <w:rStyle w:val="FootnoteReference"/>
        </w:rPr>
        <w:footnoteRef/>
      </w:r>
      <w:r>
        <w:t xml:space="preserve"> An AVM Performance Metric may need to be converted to an “error”, where zero reflects the value that </w:t>
      </w:r>
    </w:p>
    <w:p w14:paraId="78C92AB9" w14:textId="3080D7D6" w:rsidR="001D7B22" w:rsidRDefault="001D7B22" w:rsidP="00573AEE">
      <w:pPr>
        <w:pStyle w:val="FootnoteText"/>
        <w:ind w:left="-720"/>
      </w:pPr>
      <w:r>
        <w:t xml:space="preserve">the AVM Performance Metric would attain if the AVM perfectly valued all target properties.  For </w:t>
      </w:r>
    </w:p>
    <w:p w14:paraId="5878EE4C" w14:textId="77777777" w:rsidR="001D7B22" w:rsidRDefault="001D7B22" w:rsidP="00573AEE">
      <w:pPr>
        <w:pStyle w:val="FootnoteText"/>
        <w:ind w:left="-720"/>
      </w:pPr>
      <w:r>
        <w:t xml:space="preserve">example, a PE bucket needs to be converted to a Failure Rate, where a zero Failure Rate value indicates </w:t>
      </w:r>
    </w:p>
    <w:p w14:paraId="325AB373" w14:textId="77777777" w:rsidR="001D7B22" w:rsidRDefault="001D7B22" w:rsidP="00573AEE">
      <w:pPr>
        <w:pStyle w:val="FootnoteText"/>
        <w:ind w:left="-720"/>
      </w:pPr>
      <w:r>
        <w:t xml:space="preserve">the model has successfully valued all properties (to within, for example, 5, 10, 15 or 20 percent).   </w:t>
      </w:r>
    </w:p>
  </w:footnote>
  <w:footnote w:id="21">
    <w:p w14:paraId="5CA31473" w14:textId="77777777" w:rsidR="001D7B22" w:rsidRDefault="001D7B22" w:rsidP="009F5601">
      <w:pPr>
        <w:pStyle w:val="FootnoteText"/>
        <w:spacing w:before="240"/>
        <w:ind w:left="-720"/>
      </w:pPr>
      <w:r>
        <w:rPr>
          <w:rStyle w:val="FootnoteReference"/>
        </w:rPr>
        <w:footnoteRef/>
      </w:r>
      <w:r>
        <w:t xml:space="preserve"> If all variables used in the AVM-ES are positively correlated, then the AVM-ES cannot be negative.</w:t>
      </w:r>
    </w:p>
  </w:footnote>
  <w:footnote w:id="22">
    <w:p w14:paraId="7F8EBB38" w14:textId="72B0E1BF" w:rsidR="001D7B22" w:rsidRDefault="001D7B22" w:rsidP="009F5601">
      <w:pPr>
        <w:pStyle w:val="FootnoteText"/>
        <w:ind w:firstLine="0"/>
      </w:pPr>
      <w:r>
        <w:rPr>
          <w:rStyle w:val="FootnoteReference"/>
        </w:rPr>
        <w:footnoteRef/>
      </w:r>
      <w:r>
        <w:t xml:space="preserve"> </w:t>
      </w:r>
      <w:r w:rsidRPr="0013412A">
        <w:rPr>
          <w:rFonts w:ascii="Times New Roman" w:eastAsia="SimSun" w:hAnsi="Times New Roman" w:cs="Times New Roman"/>
          <w:color w:val="000000"/>
        </w:rPr>
        <w:t>Gordon</w:t>
      </w:r>
      <w:r>
        <w:rPr>
          <w:rFonts w:ascii="Times New Roman" w:eastAsia="SimSun" w:hAnsi="Times New Roman" w:cs="Times New Roman"/>
          <w:color w:val="000000"/>
        </w:rPr>
        <w:t xml:space="preserve"> (</w:t>
      </w:r>
      <w:r w:rsidRPr="0013412A">
        <w:rPr>
          <w:rFonts w:ascii="Times New Roman" w:eastAsia="SimSun" w:hAnsi="Times New Roman" w:cs="Times New Roman"/>
          <w:color w:val="000000"/>
        </w:rPr>
        <w:t>2005</w:t>
      </w:r>
      <w:r>
        <w:rPr>
          <w:rFonts w:ascii="Times New Roman" w:eastAsia="SimSun" w:hAnsi="Times New Roman" w:cs="Times New Roman"/>
          <w:color w:val="000000"/>
        </w:rPr>
        <w:t>).</w:t>
      </w:r>
    </w:p>
  </w:footnote>
  <w:footnote w:id="23">
    <w:p w14:paraId="1B4DC0A9" w14:textId="2C55B21B" w:rsidR="001D7B22" w:rsidRDefault="001D7B22" w:rsidP="00195C94">
      <w:pPr>
        <w:pStyle w:val="FootnoteText"/>
        <w:ind w:firstLine="0"/>
      </w:pPr>
      <w:r>
        <w:rPr>
          <w:rStyle w:val="FootnoteReference"/>
        </w:rPr>
        <w:footnoteRef/>
      </w:r>
      <w:r>
        <w:t xml:space="preserve"> </w:t>
      </w:r>
      <w:r>
        <w:rPr>
          <w:rFonts w:asciiTheme="majorHAnsi" w:hAnsiTheme="majorHAnsi" w:cstheme="majorHAnsi"/>
          <w:lang w:val="en"/>
        </w:rPr>
        <w:t>Allen (2009).</w:t>
      </w:r>
    </w:p>
  </w:footnote>
  <w:footnote w:id="24">
    <w:p w14:paraId="66A87E37" w14:textId="76E16A7C" w:rsidR="001D7B22" w:rsidRDefault="001D7B22" w:rsidP="009F5601">
      <w:pPr>
        <w:pStyle w:val="FootnoteText"/>
        <w:ind w:firstLine="0"/>
      </w:pPr>
      <w:r>
        <w:rPr>
          <w:rStyle w:val="FootnoteReference"/>
        </w:rPr>
        <w:footnoteRef/>
      </w:r>
      <w:r>
        <w:t xml:space="preserve"> </w:t>
      </w:r>
      <w:r>
        <w:rPr>
          <w:rFonts w:cstheme="minorHAnsi"/>
        </w:rPr>
        <w:t xml:space="preserve">Only </w:t>
      </w:r>
      <w:r w:rsidRPr="004C07C8">
        <w:rPr>
          <w:rFonts w:cstheme="minorHAnsi"/>
        </w:rPr>
        <w:t>57,290 of the 455,563 (12.6%)</w:t>
      </w:r>
      <w:r>
        <w:rPr>
          <w:rFonts w:cstheme="minorHAnsi"/>
        </w:rPr>
        <w:t xml:space="preserve"> benchmark properties were valued by each of the 15 AVMs.  As a result, 87.4 percent of benchmark properties would be </w:t>
      </w:r>
      <w:r w:rsidR="00A01C86">
        <w:rPr>
          <w:rFonts w:cstheme="minorHAnsi"/>
        </w:rPr>
        <w:t>eliminated,</w:t>
      </w:r>
      <w:r>
        <w:rPr>
          <w:rFonts w:cstheme="minorHAnsi"/>
        </w:rPr>
        <w:t xml:space="preserve"> if a common set of valued sales were required.  </w:t>
      </w:r>
    </w:p>
  </w:footnote>
  <w:footnote w:id="25">
    <w:p w14:paraId="7DBC0B60" w14:textId="407ECE6F" w:rsidR="001D7B22" w:rsidRDefault="001D7B22" w:rsidP="00533FFE">
      <w:pPr>
        <w:pStyle w:val="FootnoteText"/>
        <w:ind w:left="-720"/>
      </w:pPr>
      <w:r>
        <w:rPr>
          <w:rStyle w:val="FootnoteReference"/>
        </w:rPr>
        <w:footnoteRef/>
      </w:r>
      <w:r>
        <w:t xml:space="preserve"> See footnote </w:t>
      </w:r>
      <w:r w:rsidR="00D12502">
        <w:t>4</w:t>
      </w:r>
      <w:r>
        <w:t>.</w:t>
      </w:r>
    </w:p>
  </w:footnote>
  <w:footnote w:id="26">
    <w:p w14:paraId="7A6A8690" w14:textId="1D99CD09" w:rsidR="001D7B22" w:rsidRDefault="001D7B22" w:rsidP="00195C94">
      <w:pPr>
        <w:pStyle w:val="FootnoteText"/>
        <w:ind w:firstLine="0"/>
      </w:pPr>
      <w:r>
        <w:rPr>
          <w:rStyle w:val="FootnoteReference"/>
        </w:rPr>
        <w:footnoteRef/>
      </w:r>
      <w:r>
        <w:t xml:space="preserve"> </w:t>
      </w:r>
      <w:r>
        <w:rPr>
          <w:rFonts w:asciiTheme="majorHAnsi" w:hAnsiTheme="majorHAnsi" w:cstheme="majorHAnsi"/>
        </w:rPr>
        <w:t xml:space="preserve">Gaylor, </w:t>
      </w:r>
      <w:r>
        <w:rPr>
          <w:rFonts w:asciiTheme="majorHAnsi" w:hAnsiTheme="majorHAnsi" w:cstheme="majorHAnsi"/>
          <w:i/>
        </w:rPr>
        <w:t xml:space="preserve">et al. </w:t>
      </w:r>
      <w:r>
        <w:rPr>
          <w:rFonts w:asciiTheme="majorHAnsi" w:hAnsiTheme="majorHAnsi" w:cstheme="majorHAnsi"/>
        </w:rPr>
        <w:t>(2015), p. 3.</w:t>
      </w:r>
    </w:p>
  </w:footnote>
  <w:footnote w:id="27">
    <w:p w14:paraId="50EBEB7B" w14:textId="7C046C10" w:rsidR="001D7B22" w:rsidRDefault="001D7B22" w:rsidP="00F76B37">
      <w:pPr>
        <w:pStyle w:val="FootnoteText"/>
        <w:ind w:firstLine="0"/>
      </w:pPr>
      <w:r>
        <w:rPr>
          <w:rStyle w:val="FootnoteReference"/>
        </w:rPr>
        <w:footnoteRef/>
      </w:r>
      <w:r>
        <w:t xml:space="preserve"> </w:t>
      </w:r>
      <w:r>
        <w:rPr>
          <w:rFonts w:cstheme="minorHAnsi"/>
        </w:rPr>
        <w:t>Ott and Longnecker (2016), Section 7.2.</w:t>
      </w:r>
    </w:p>
  </w:footnote>
  <w:footnote w:id="28">
    <w:p w14:paraId="7FBB6CF4" w14:textId="77777777" w:rsidR="001D7B22" w:rsidRDefault="001D7B22" w:rsidP="00E2372A">
      <w:pPr>
        <w:pStyle w:val="FootnoteText"/>
        <w:ind w:left="-720"/>
      </w:pPr>
      <w:r>
        <w:rPr>
          <w:rStyle w:val="FootnoteReference"/>
        </w:rPr>
        <w:footnoteRef/>
      </w:r>
      <w:r>
        <w:t xml:space="preserve"> Note that Model 1, FSD 4 has the lowest Observed Standard Deviation of 6.2, however, both Model 1, </w:t>
      </w:r>
    </w:p>
    <w:p w14:paraId="787A0576" w14:textId="77777777" w:rsidR="001D7B22" w:rsidRDefault="001D7B22" w:rsidP="00E2372A">
      <w:pPr>
        <w:pStyle w:val="FootnoteText"/>
        <w:ind w:left="-720"/>
      </w:pPr>
      <w:r>
        <w:t xml:space="preserve">FSD 6 and Model 1, FSD 7 have Observed Standard Deviations that most closely match their respective </w:t>
      </w:r>
    </w:p>
    <w:p w14:paraId="56FE5675" w14:textId="658D4AC3" w:rsidR="001D7B22" w:rsidRDefault="001D7B22" w:rsidP="00E2372A">
      <w:pPr>
        <w:pStyle w:val="FootnoteText"/>
        <w:ind w:left="-720"/>
      </w:pPr>
      <w:r>
        <w:t xml:space="preserve">vendor-reported FSDs. </w:t>
      </w:r>
    </w:p>
  </w:footnote>
  <w:footnote w:id="29">
    <w:p w14:paraId="167B24D9" w14:textId="3130E1E8" w:rsidR="001D7B22" w:rsidRDefault="001D7B22" w:rsidP="009538D4">
      <w:pPr>
        <w:pStyle w:val="FootnoteText"/>
        <w:ind w:left="-720"/>
      </w:pPr>
      <w:r>
        <w:rPr>
          <w:rStyle w:val="FootnoteReference"/>
        </w:rPr>
        <w:footnoteRef/>
      </w:r>
      <w:r>
        <w:t xml:space="preserve"> In contrast, only 73 of the 367 (19.9%) AVM/FSD combinations have AVM </w:t>
      </w:r>
      <w:r w:rsidR="007F781F">
        <w:t>vend</w:t>
      </w:r>
      <w:r>
        <w:t xml:space="preserve">ers statistically </w:t>
      </w:r>
    </w:p>
    <w:p w14:paraId="1F8C3252" w14:textId="45026D68" w:rsidR="001D7B22" w:rsidRDefault="001D7B22" w:rsidP="009538D4">
      <w:pPr>
        <w:pStyle w:val="FootnoteText"/>
        <w:ind w:left="-720"/>
      </w:pPr>
      <w:r>
        <w:t xml:space="preserve">significantly overreporting their FSDs. </w:t>
      </w:r>
    </w:p>
    <w:p w14:paraId="092C0D6B" w14:textId="77777777" w:rsidR="001D7B22" w:rsidRDefault="001D7B22" w:rsidP="009538D4">
      <w:pPr>
        <w:pStyle w:val="FootnoteText"/>
        <w:ind w:left="-720"/>
      </w:pPr>
    </w:p>
  </w:footnote>
  <w:footnote w:id="30">
    <w:p w14:paraId="46B295D3" w14:textId="77777777" w:rsidR="001D7B22" w:rsidRDefault="001D7B22" w:rsidP="00870EDE">
      <w:pPr>
        <w:pStyle w:val="FootnoteText"/>
        <w:ind w:left="-720"/>
      </w:pPr>
      <w:r>
        <w:rPr>
          <w:rStyle w:val="FootnoteReference"/>
        </w:rPr>
        <w:footnoteRef/>
      </w:r>
      <w:r>
        <w:t xml:space="preserve"> The AVMs have been randomized between the two empirical examples, meaning that Model 1, in the </w:t>
      </w:r>
      <w:r>
        <w:tab/>
      </w:r>
      <w:r>
        <w:tab/>
      </w:r>
      <w:r>
        <w:tab/>
        <w:t xml:space="preserve">             first analysis, is not the same Model 1 in the second.  Such precautions are taken to discourage drawing </w:t>
      </w:r>
    </w:p>
    <w:p w14:paraId="18F90C54" w14:textId="33F8A9D4" w:rsidR="001D7B22" w:rsidRDefault="001D7B22" w:rsidP="00870EDE">
      <w:pPr>
        <w:pStyle w:val="FootnoteText"/>
        <w:ind w:left="-720"/>
      </w:pPr>
      <w:r>
        <w:t>any general “change of scale” conclusion</w:t>
      </w:r>
      <w:r w:rsidR="00E01437">
        <w:t>s</w:t>
      </w:r>
      <w:r>
        <w:t xml:space="preserve"> for AVMs, and to avoid any possibility of model identification.</w:t>
      </w:r>
    </w:p>
  </w:footnote>
  <w:footnote w:id="31">
    <w:p w14:paraId="680F269D" w14:textId="77777777" w:rsidR="00E01437" w:rsidRDefault="001D7B22" w:rsidP="001D7B22">
      <w:pPr>
        <w:pStyle w:val="FootnoteText"/>
        <w:ind w:left="-720"/>
      </w:pPr>
      <w:r>
        <w:rPr>
          <w:rStyle w:val="FootnoteReference"/>
        </w:rPr>
        <w:footnoteRef/>
      </w:r>
      <w:r>
        <w:t xml:space="preserve"> The AVM Performance Metrics shown in </w:t>
      </w:r>
      <w:r w:rsidRPr="009A4A34">
        <w:t xml:space="preserve">Exhibit 5 </w:t>
      </w:r>
      <w:r w:rsidR="00E01437">
        <w:t>(</w:t>
      </w:r>
      <w:r w:rsidRPr="009A4A34">
        <w:t xml:space="preserve">and </w:t>
      </w:r>
      <w:r w:rsidR="00E01437">
        <w:t xml:space="preserve">Exhibit </w:t>
      </w:r>
      <w:r w:rsidRPr="009A4A34">
        <w:t>8</w:t>
      </w:r>
      <w:r w:rsidR="00E01437">
        <w:t>)</w:t>
      </w:r>
      <w:r>
        <w:t xml:space="preserve"> are illustrative and are not an </w:t>
      </w:r>
      <w:r w:rsidR="00E01437">
        <w:tab/>
      </w:r>
    </w:p>
    <w:p w14:paraId="54C16AEF" w14:textId="77777777" w:rsidR="00E01437" w:rsidRDefault="001D7B22" w:rsidP="00926719">
      <w:pPr>
        <w:pStyle w:val="FootnoteText"/>
        <w:ind w:left="-720"/>
      </w:pPr>
      <w:r>
        <w:t xml:space="preserve">endorsement by the authors, regarding a </w:t>
      </w:r>
      <w:r w:rsidRPr="0074659D">
        <w:rPr>
          <w:i/>
          <w:iCs/>
        </w:rPr>
        <w:t xml:space="preserve">best </w:t>
      </w:r>
      <w:r>
        <w:t>or</w:t>
      </w:r>
      <w:r w:rsidRPr="0074659D">
        <w:rPr>
          <w:i/>
          <w:iCs/>
        </w:rPr>
        <w:t xml:space="preserve"> preferred </w:t>
      </w:r>
      <w:r>
        <w:t xml:space="preserve">set of AVM Performance Metrics.  The authors </w:t>
      </w:r>
      <w:r w:rsidR="00E01437">
        <w:tab/>
      </w:r>
    </w:p>
    <w:p w14:paraId="5E651CD6" w14:textId="77777777" w:rsidR="00E01437" w:rsidRDefault="001D7B22" w:rsidP="00926719">
      <w:pPr>
        <w:pStyle w:val="FootnoteText"/>
        <w:ind w:left="-720"/>
      </w:pPr>
      <w:r>
        <w:t xml:space="preserve">advocate that each client should choose a set of AVM Performance Metrics that are in concordance with </w:t>
      </w:r>
    </w:p>
    <w:p w14:paraId="0A0EE340" w14:textId="77777777" w:rsidR="00E01437" w:rsidRDefault="001D7B22" w:rsidP="00926719">
      <w:pPr>
        <w:pStyle w:val="FootnoteText"/>
        <w:ind w:left="-720"/>
      </w:pPr>
      <w:r>
        <w:t xml:space="preserve">the business need for using the AVM.  To further emphasize this point, the authors choose a (mostly) </w:t>
      </w:r>
    </w:p>
    <w:p w14:paraId="15396BB4" w14:textId="732F364F" w:rsidR="001D7B22" w:rsidRDefault="001D7B22" w:rsidP="00926719">
      <w:pPr>
        <w:pStyle w:val="FootnoteText"/>
        <w:ind w:left="-720"/>
      </w:pPr>
      <w:r>
        <w:t xml:space="preserve">different set of AVM Performance Metrics for </w:t>
      </w:r>
      <w:r w:rsidR="00E01437">
        <w:t>each of the</w:t>
      </w:r>
      <w:r>
        <w:t xml:space="preserve"> two empirical analyses in this study.</w:t>
      </w:r>
    </w:p>
  </w:footnote>
  <w:footnote w:id="32">
    <w:p w14:paraId="56FB6D11" w14:textId="77777777" w:rsidR="001D7B22" w:rsidRDefault="001D7B22" w:rsidP="008A1725">
      <w:pPr>
        <w:pStyle w:val="FootnoteText"/>
        <w:ind w:left="-720"/>
      </w:pPr>
      <w:r>
        <w:rPr>
          <w:rStyle w:val="FootnoteReference"/>
        </w:rPr>
        <w:footnoteRef/>
      </w:r>
      <w:r>
        <w:t xml:space="preserve"> The contribution to the AVM-ES for any one metric is the value of the metric times its corresponding </w:t>
      </w:r>
    </w:p>
    <w:p w14:paraId="069413B3" w14:textId="77777777" w:rsidR="001D7B22" w:rsidRDefault="001D7B22" w:rsidP="008A1725">
      <w:pPr>
        <w:pStyle w:val="FootnoteText"/>
        <w:ind w:left="-720"/>
      </w:pPr>
      <w:r>
        <w:t xml:space="preserve">AVM-ES coefficient. </w:t>
      </w:r>
    </w:p>
  </w:footnote>
  <w:footnote w:id="33">
    <w:p w14:paraId="2F7C9569" w14:textId="09ECD9E1" w:rsidR="00FB35B7" w:rsidRDefault="00FB35B7" w:rsidP="000A2A90">
      <w:pPr>
        <w:pStyle w:val="FootnoteText"/>
        <w:ind w:left="-720"/>
      </w:pPr>
      <w:r>
        <w:rPr>
          <w:rStyle w:val="FootnoteReference"/>
        </w:rPr>
        <w:footnoteRef/>
      </w:r>
      <w:r>
        <w:t xml:space="preserve"> See footnote 17.</w:t>
      </w:r>
    </w:p>
  </w:footnote>
  <w:footnote w:id="34">
    <w:p w14:paraId="4ADD3844" w14:textId="537C8FD5" w:rsidR="001D7B22" w:rsidRPr="00991C4F" w:rsidRDefault="001D7B22" w:rsidP="009F5601">
      <w:pPr>
        <w:pStyle w:val="FootnoteText"/>
        <w:ind w:firstLine="0"/>
        <w:rPr>
          <w:szCs w:val="22"/>
        </w:rPr>
      </w:pPr>
      <w:r w:rsidRPr="00991C4F">
        <w:rPr>
          <w:rStyle w:val="FootnoteReference"/>
          <w:szCs w:val="22"/>
        </w:rPr>
        <w:footnoteRef/>
      </w:r>
      <w:r w:rsidRPr="00991C4F">
        <w:rPr>
          <w:szCs w:val="22"/>
        </w:rPr>
        <w:t xml:space="preserve"> CoreLogic (2011), p. 2.</w:t>
      </w:r>
    </w:p>
  </w:footnote>
  <w:footnote w:id="35">
    <w:p w14:paraId="265234FF" w14:textId="33ED3834" w:rsidR="001D7B22" w:rsidRPr="00991C4F" w:rsidRDefault="001D7B22" w:rsidP="00406F7E">
      <w:pPr>
        <w:pStyle w:val="FootnoteText"/>
        <w:ind w:left="-720"/>
        <w:rPr>
          <w:szCs w:val="22"/>
        </w:rPr>
      </w:pPr>
      <w:r w:rsidRPr="00991C4F">
        <w:rPr>
          <w:rStyle w:val="FootnoteReference"/>
          <w:szCs w:val="22"/>
        </w:rPr>
        <w:footnoteRef/>
      </w:r>
      <w:r w:rsidRPr="00991C4F">
        <w:rPr>
          <w:szCs w:val="22"/>
        </w:rPr>
        <w:t xml:space="preserve"> The suggested thresholds in Exhibit 1</w:t>
      </w:r>
      <w:r>
        <w:rPr>
          <w:szCs w:val="22"/>
        </w:rPr>
        <w:t>2</w:t>
      </w:r>
      <w:r w:rsidRPr="00991C4F">
        <w:rPr>
          <w:szCs w:val="22"/>
        </w:rPr>
        <w:t xml:space="preserve"> are only presented to illustrate the grading of AVMs, using the </w:t>
      </w:r>
      <w:r w:rsidRPr="00991C4F">
        <w:rPr>
          <w:szCs w:val="22"/>
        </w:rPr>
        <w:tab/>
      </w:r>
    </w:p>
    <w:p w14:paraId="3A8A3FBC" w14:textId="733D0021" w:rsidR="001D7B22" w:rsidRPr="00991C4F" w:rsidRDefault="001D7B22" w:rsidP="00406F7E">
      <w:pPr>
        <w:pStyle w:val="FootnoteText"/>
        <w:ind w:left="-720"/>
        <w:rPr>
          <w:szCs w:val="22"/>
        </w:rPr>
      </w:pPr>
      <w:r w:rsidRPr="00991C4F">
        <w:rPr>
          <w:szCs w:val="22"/>
        </w:rPr>
        <w:t xml:space="preserve">statistical technique developed in this </w:t>
      </w:r>
      <w:r>
        <w:rPr>
          <w:szCs w:val="22"/>
        </w:rPr>
        <w:t>study</w:t>
      </w:r>
      <w:r w:rsidRPr="00991C4F">
        <w:rPr>
          <w:szCs w:val="22"/>
        </w:rPr>
        <w:t xml:space="preserve"> (the AVM-ES).  They do not reflect an endorsement, by the </w:t>
      </w:r>
      <w:r w:rsidRPr="00991C4F">
        <w:rPr>
          <w:szCs w:val="22"/>
        </w:rPr>
        <w:tab/>
      </w:r>
    </w:p>
    <w:p w14:paraId="22543101" w14:textId="66D1CAE9" w:rsidR="001D7B22" w:rsidRPr="00991C4F" w:rsidRDefault="001D7B22" w:rsidP="00406F7E">
      <w:pPr>
        <w:pStyle w:val="FootnoteText"/>
        <w:ind w:left="-720"/>
        <w:rPr>
          <w:szCs w:val="22"/>
        </w:rPr>
      </w:pPr>
      <w:r w:rsidRPr="00991C4F">
        <w:rPr>
          <w:szCs w:val="22"/>
        </w:rPr>
        <w:t xml:space="preserve">authors, of any </w:t>
      </w:r>
      <w:r w:rsidR="00CB4665" w:rsidRPr="00991C4F">
        <w:rPr>
          <w:szCs w:val="22"/>
        </w:rPr>
        <w:t>one</w:t>
      </w:r>
      <w:r w:rsidR="00CB4665">
        <w:rPr>
          <w:szCs w:val="22"/>
        </w:rPr>
        <w:t>, or</w:t>
      </w:r>
      <w:r w:rsidRPr="00991C4F">
        <w:rPr>
          <w:szCs w:val="22"/>
        </w:rPr>
        <w:t xml:space="preserve"> any set of AVM performance thresholds.</w:t>
      </w:r>
    </w:p>
    <w:p w14:paraId="12E8C4BD" w14:textId="77777777" w:rsidR="001D7B22" w:rsidRDefault="001D7B22" w:rsidP="00406F7E">
      <w:pPr>
        <w:pStyle w:val="FootnoteText"/>
        <w:ind w:left="-7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5FEE" w14:textId="77777777" w:rsidR="000A2A90" w:rsidRDefault="000A2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ED501" w14:textId="77777777" w:rsidR="000A2A90" w:rsidRDefault="000A2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8DF7" w14:textId="77777777" w:rsidR="001D7B22" w:rsidRDefault="001D7B22"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054606"/>
    <w:multiLevelType w:val="hybridMultilevel"/>
    <w:tmpl w:val="A1220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A631D"/>
    <w:multiLevelType w:val="hybridMultilevel"/>
    <w:tmpl w:val="B47EF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536A9"/>
    <w:multiLevelType w:val="hybridMultilevel"/>
    <w:tmpl w:val="33FA75C6"/>
    <w:lvl w:ilvl="0" w:tplc="7A0212B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B3196"/>
    <w:multiLevelType w:val="hybridMultilevel"/>
    <w:tmpl w:val="2CC868E6"/>
    <w:lvl w:ilvl="0" w:tplc="4F8E53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8F4104"/>
    <w:multiLevelType w:val="hybridMultilevel"/>
    <w:tmpl w:val="A1220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436AD"/>
    <w:multiLevelType w:val="hybridMultilevel"/>
    <w:tmpl w:val="B2388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36C0D"/>
    <w:multiLevelType w:val="hybridMultilevel"/>
    <w:tmpl w:val="A9A0E9EA"/>
    <w:lvl w:ilvl="0" w:tplc="38F45C8A">
      <w:start w:val="4"/>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27A1F"/>
    <w:multiLevelType w:val="hybridMultilevel"/>
    <w:tmpl w:val="64B02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E343B"/>
    <w:multiLevelType w:val="multilevel"/>
    <w:tmpl w:val="138E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240010"/>
    <w:multiLevelType w:val="hybridMultilevel"/>
    <w:tmpl w:val="D4C06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7296D"/>
    <w:multiLevelType w:val="hybridMultilevel"/>
    <w:tmpl w:val="B47EF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DE52EA"/>
    <w:multiLevelType w:val="hybridMultilevel"/>
    <w:tmpl w:val="653627A0"/>
    <w:name w:val="Agreement (2)2"/>
    <w:lvl w:ilvl="0" w:tplc="8488EFC4">
      <w:start w:val="1"/>
      <w:numFmt w:val="decimal"/>
      <w:lvlText w:val="%1."/>
      <w:lvlJc w:val="left"/>
      <w:pPr>
        <w:tabs>
          <w:tab w:val="num" w:pos="720"/>
        </w:tabs>
        <w:ind w:left="0" w:firstLine="0"/>
      </w:pPr>
      <w:rPr>
        <w:rFonts w:ascii="Times New Roman" w:hAnsi="Times New Roman" w:hint="default"/>
        <w:b w:val="0"/>
        <w:i w:val="0"/>
        <w:color w:val="auto"/>
        <w:sz w:val="24"/>
      </w:rPr>
    </w:lvl>
    <w:lvl w:ilvl="1" w:tplc="0E4A93B2">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583121"/>
    <w:multiLevelType w:val="hybridMultilevel"/>
    <w:tmpl w:val="E4EA7C3A"/>
    <w:lvl w:ilvl="0" w:tplc="A33CC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537887"/>
    <w:multiLevelType w:val="hybridMultilevel"/>
    <w:tmpl w:val="8D34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8"/>
  </w:num>
  <w:num w:numId="14">
    <w:abstractNumId w:val="11"/>
  </w:num>
  <w:num w:numId="15">
    <w:abstractNumId w:val="23"/>
  </w:num>
  <w:num w:numId="16">
    <w:abstractNumId w:val="20"/>
  </w:num>
  <w:num w:numId="17">
    <w:abstractNumId w:val="17"/>
  </w:num>
  <w:num w:numId="18">
    <w:abstractNumId w:val="19"/>
  </w:num>
  <w:num w:numId="19">
    <w:abstractNumId w:val="14"/>
  </w:num>
  <w:num w:numId="20">
    <w:abstractNumId w:val="10"/>
  </w:num>
  <w:num w:numId="21">
    <w:abstractNumId w:val="12"/>
  </w:num>
  <w:num w:numId="22">
    <w:abstractNumId w:val="13"/>
  </w:num>
  <w:num w:numId="23">
    <w:abstractNumId w:val="15"/>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2F"/>
    <w:rsid w:val="0000007F"/>
    <w:rsid w:val="000000F2"/>
    <w:rsid w:val="0000030D"/>
    <w:rsid w:val="00001B15"/>
    <w:rsid w:val="00001D2B"/>
    <w:rsid w:val="00001E76"/>
    <w:rsid w:val="000038F0"/>
    <w:rsid w:val="00004688"/>
    <w:rsid w:val="00004755"/>
    <w:rsid w:val="00004890"/>
    <w:rsid w:val="00005FF1"/>
    <w:rsid w:val="00006231"/>
    <w:rsid w:val="00006422"/>
    <w:rsid w:val="00006B5E"/>
    <w:rsid w:val="00006BBA"/>
    <w:rsid w:val="00006CD7"/>
    <w:rsid w:val="00007AFB"/>
    <w:rsid w:val="00007C89"/>
    <w:rsid w:val="00007EE7"/>
    <w:rsid w:val="00007F2E"/>
    <w:rsid w:val="0001010E"/>
    <w:rsid w:val="00010A80"/>
    <w:rsid w:val="00011678"/>
    <w:rsid w:val="0001179D"/>
    <w:rsid w:val="00011A3E"/>
    <w:rsid w:val="000122F8"/>
    <w:rsid w:val="00012684"/>
    <w:rsid w:val="00012893"/>
    <w:rsid w:val="0001309F"/>
    <w:rsid w:val="000131D6"/>
    <w:rsid w:val="00014382"/>
    <w:rsid w:val="00015003"/>
    <w:rsid w:val="00015938"/>
    <w:rsid w:val="00016881"/>
    <w:rsid w:val="00016A99"/>
    <w:rsid w:val="00021188"/>
    <w:rsid w:val="000211C8"/>
    <w:rsid w:val="000217F5"/>
    <w:rsid w:val="000218B6"/>
    <w:rsid w:val="000219B7"/>
    <w:rsid w:val="000227F8"/>
    <w:rsid w:val="00022A01"/>
    <w:rsid w:val="0002349A"/>
    <w:rsid w:val="000234A9"/>
    <w:rsid w:val="000241F5"/>
    <w:rsid w:val="000243B9"/>
    <w:rsid w:val="000246A9"/>
    <w:rsid w:val="00025368"/>
    <w:rsid w:val="0002541B"/>
    <w:rsid w:val="00025F1E"/>
    <w:rsid w:val="00026F16"/>
    <w:rsid w:val="000300E9"/>
    <w:rsid w:val="00031374"/>
    <w:rsid w:val="000315C2"/>
    <w:rsid w:val="00031BEB"/>
    <w:rsid w:val="00031E1D"/>
    <w:rsid w:val="00031F5B"/>
    <w:rsid w:val="000328A7"/>
    <w:rsid w:val="00033429"/>
    <w:rsid w:val="00034BAF"/>
    <w:rsid w:val="00034C3F"/>
    <w:rsid w:val="00034F19"/>
    <w:rsid w:val="000354E3"/>
    <w:rsid w:val="000359D2"/>
    <w:rsid w:val="00035EBC"/>
    <w:rsid w:val="0003635C"/>
    <w:rsid w:val="000363A5"/>
    <w:rsid w:val="0003693C"/>
    <w:rsid w:val="00036EDC"/>
    <w:rsid w:val="00037508"/>
    <w:rsid w:val="00040ADB"/>
    <w:rsid w:val="00040DD3"/>
    <w:rsid w:val="00041853"/>
    <w:rsid w:val="00041BFC"/>
    <w:rsid w:val="00042593"/>
    <w:rsid w:val="000425AF"/>
    <w:rsid w:val="000427CE"/>
    <w:rsid w:val="00042C9F"/>
    <w:rsid w:val="0004312F"/>
    <w:rsid w:val="00043846"/>
    <w:rsid w:val="00043C65"/>
    <w:rsid w:val="00044691"/>
    <w:rsid w:val="00044BF8"/>
    <w:rsid w:val="00044EB3"/>
    <w:rsid w:val="00047473"/>
    <w:rsid w:val="00047DC4"/>
    <w:rsid w:val="00051616"/>
    <w:rsid w:val="000522B8"/>
    <w:rsid w:val="00052392"/>
    <w:rsid w:val="0005398C"/>
    <w:rsid w:val="00054FCC"/>
    <w:rsid w:val="00055268"/>
    <w:rsid w:val="000557B1"/>
    <w:rsid w:val="000559F0"/>
    <w:rsid w:val="00057EC9"/>
    <w:rsid w:val="0006118E"/>
    <w:rsid w:val="00061FBA"/>
    <w:rsid w:val="00062450"/>
    <w:rsid w:val="000624C3"/>
    <w:rsid w:val="00062B68"/>
    <w:rsid w:val="000635E2"/>
    <w:rsid w:val="00065991"/>
    <w:rsid w:val="00065A18"/>
    <w:rsid w:val="00065E47"/>
    <w:rsid w:val="00066123"/>
    <w:rsid w:val="00066EA5"/>
    <w:rsid w:val="00067150"/>
    <w:rsid w:val="000672E7"/>
    <w:rsid w:val="000703FD"/>
    <w:rsid w:val="00070F32"/>
    <w:rsid w:val="000726A9"/>
    <w:rsid w:val="00072903"/>
    <w:rsid w:val="0007386E"/>
    <w:rsid w:val="0007411A"/>
    <w:rsid w:val="00075D2F"/>
    <w:rsid w:val="000767AB"/>
    <w:rsid w:val="000779E3"/>
    <w:rsid w:val="00077C9D"/>
    <w:rsid w:val="00077F9D"/>
    <w:rsid w:val="00081916"/>
    <w:rsid w:val="00083EAE"/>
    <w:rsid w:val="00085028"/>
    <w:rsid w:val="00085450"/>
    <w:rsid w:val="0008630A"/>
    <w:rsid w:val="0008743A"/>
    <w:rsid w:val="000875AC"/>
    <w:rsid w:val="000875B7"/>
    <w:rsid w:val="00087790"/>
    <w:rsid w:val="000878D3"/>
    <w:rsid w:val="00090029"/>
    <w:rsid w:val="00090369"/>
    <w:rsid w:val="000904E4"/>
    <w:rsid w:val="00090DF9"/>
    <w:rsid w:val="00091BCB"/>
    <w:rsid w:val="000928DA"/>
    <w:rsid w:val="00093BBD"/>
    <w:rsid w:val="00093BE9"/>
    <w:rsid w:val="00093C00"/>
    <w:rsid w:val="00093F88"/>
    <w:rsid w:val="0009405D"/>
    <w:rsid w:val="0009431B"/>
    <w:rsid w:val="00094AE9"/>
    <w:rsid w:val="000955BC"/>
    <w:rsid w:val="00096778"/>
    <w:rsid w:val="00097169"/>
    <w:rsid w:val="00097DDE"/>
    <w:rsid w:val="000A0294"/>
    <w:rsid w:val="000A0355"/>
    <w:rsid w:val="000A0760"/>
    <w:rsid w:val="000A13CD"/>
    <w:rsid w:val="000A1427"/>
    <w:rsid w:val="000A1B81"/>
    <w:rsid w:val="000A1DA3"/>
    <w:rsid w:val="000A1F6A"/>
    <w:rsid w:val="000A2630"/>
    <w:rsid w:val="000A2689"/>
    <w:rsid w:val="000A2A90"/>
    <w:rsid w:val="000A3C77"/>
    <w:rsid w:val="000A3D3F"/>
    <w:rsid w:val="000A4B40"/>
    <w:rsid w:val="000A560D"/>
    <w:rsid w:val="000A5967"/>
    <w:rsid w:val="000A675E"/>
    <w:rsid w:val="000A6A3E"/>
    <w:rsid w:val="000A6AAD"/>
    <w:rsid w:val="000A6CAC"/>
    <w:rsid w:val="000A750D"/>
    <w:rsid w:val="000B0666"/>
    <w:rsid w:val="000B0F88"/>
    <w:rsid w:val="000B1C31"/>
    <w:rsid w:val="000B34A7"/>
    <w:rsid w:val="000B38BE"/>
    <w:rsid w:val="000B6536"/>
    <w:rsid w:val="000B67E0"/>
    <w:rsid w:val="000B6802"/>
    <w:rsid w:val="000B6CAD"/>
    <w:rsid w:val="000B6CDD"/>
    <w:rsid w:val="000B6D2E"/>
    <w:rsid w:val="000B792A"/>
    <w:rsid w:val="000C0CDB"/>
    <w:rsid w:val="000C1DB5"/>
    <w:rsid w:val="000C2DFD"/>
    <w:rsid w:val="000C318D"/>
    <w:rsid w:val="000C3453"/>
    <w:rsid w:val="000C3FE9"/>
    <w:rsid w:val="000C4EB6"/>
    <w:rsid w:val="000C5085"/>
    <w:rsid w:val="000C5337"/>
    <w:rsid w:val="000C5FAB"/>
    <w:rsid w:val="000C6B1B"/>
    <w:rsid w:val="000C7009"/>
    <w:rsid w:val="000D08F3"/>
    <w:rsid w:val="000D0A88"/>
    <w:rsid w:val="000D11F9"/>
    <w:rsid w:val="000D14E8"/>
    <w:rsid w:val="000D1535"/>
    <w:rsid w:val="000D15CE"/>
    <w:rsid w:val="000D21CE"/>
    <w:rsid w:val="000D3216"/>
    <w:rsid w:val="000D50BA"/>
    <w:rsid w:val="000D58ED"/>
    <w:rsid w:val="000D5EF9"/>
    <w:rsid w:val="000E0444"/>
    <w:rsid w:val="000E0703"/>
    <w:rsid w:val="000E0FA0"/>
    <w:rsid w:val="000E14AC"/>
    <w:rsid w:val="000E1A08"/>
    <w:rsid w:val="000E2AD9"/>
    <w:rsid w:val="000E2BDF"/>
    <w:rsid w:val="000E2F23"/>
    <w:rsid w:val="000E3A83"/>
    <w:rsid w:val="000E3DE1"/>
    <w:rsid w:val="000E4728"/>
    <w:rsid w:val="000E59D1"/>
    <w:rsid w:val="000E5A96"/>
    <w:rsid w:val="000E5D29"/>
    <w:rsid w:val="000E67D0"/>
    <w:rsid w:val="000E6976"/>
    <w:rsid w:val="000E790A"/>
    <w:rsid w:val="000F04A9"/>
    <w:rsid w:val="000F050B"/>
    <w:rsid w:val="000F092F"/>
    <w:rsid w:val="000F109E"/>
    <w:rsid w:val="000F1B2D"/>
    <w:rsid w:val="000F20DC"/>
    <w:rsid w:val="000F3688"/>
    <w:rsid w:val="000F368C"/>
    <w:rsid w:val="000F4377"/>
    <w:rsid w:val="000F512F"/>
    <w:rsid w:val="000F5852"/>
    <w:rsid w:val="000F62C5"/>
    <w:rsid w:val="000F6FB6"/>
    <w:rsid w:val="000F7226"/>
    <w:rsid w:val="00100046"/>
    <w:rsid w:val="001008B9"/>
    <w:rsid w:val="00100D73"/>
    <w:rsid w:val="00100E5D"/>
    <w:rsid w:val="00101B4F"/>
    <w:rsid w:val="00102318"/>
    <w:rsid w:val="0010258B"/>
    <w:rsid w:val="00104A96"/>
    <w:rsid w:val="001054F3"/>
    <w:rsid w:val="00105E25"/>
    <w:rsid w:val="001063DD"/>
    <w:rsid w:val="001067B3"/>
    <w:rsid w:val="001071C5"/>
    <w:rsid w:val="001073D4"/>
    <w:rsid w:val="00107443"/>
    <w:rsid w:val="001074B0"/>
    <w:rsid w:val="00110EB3"/>
    <w:rsid w:val="00111C96"/>
    <w:rsid w:val="00112557"/>
    <w:rsid w:val="00113558"/>
    <w:rsid w:val="00113619"/>
    <w:rsid w:val="00113ACE"/>
    <w:rsid w:val="00113E26"/>
    <w:rsid w:val="00114304"/>
    <w:rsid w:val="00114387"/>
    <w:rsid w:val="00114BFA"/>
    <w:rsid w:val="00114C7E"/>
    <w:rsid w:val="00114CA7"/>
    <w:rsid w:val="00115A63"/>
    <w:rsid w:val="00115BE4"/>
    <w:rsid w:val="0011613A"/>
    <w:rsid w:val="00116AF4"/>
    <w:rsid w:val="00116B4C"/>
    <w:rsid w:val="00117BE9"/>
    <w:rsid w:val="0012081E"/>
    <w:rsid w:val="001208DA"/>
    <w:rsid w:val="00123857"/>
    <w:rsid w:val="00123907"/>
    <w:rsid w:val="00124113"/>
    <w:rsid w:val="00124671"/>
    <w:rsid w:val="00124A04"/>
    <w:rsid w:val="001267BE"/>
    <w:rsid w:val="00126B94"/>
    <w:rsid w:val="00126CC3"/>
    <w:rsid w:val="001307D2"/>
    <w:rsid w:val="00130D65"/>
    <w:rsid w:val="001315DF"/>
    <w:rsid w:val="001315F3"/>
    <w:rsid w:val="0013307E"/>
    <w:rsid w:val="00133763"/>
    <w:rsid w:val="00133B59"/>
    <w:rsid w:val="001341F8"/>
    <w:rsid w:val="001347CF"/>
    <w:rsid w:val="001348D1"/>
    <w:rsid w:val="00134AA9"/>
    <w:rsid w:val="00134F7D"/>
    <w:rsid w:val="00136A8F"/>
    <w:rsid w:val="00136AC8"/>
    <w:rsid w:val="00137450"/>
    <w:rsid w:val="001404C2"/>
    <w:rsid w:val="0014185F"/>
    <w:rsid w:val="00142125"/>
    <w:rsid w:val="00142D13"/>
    <w:rsid w:val="00142F91"/>
    <w:rsid w:val="00143041"/>
    <w:rsid w:val="0014410B"/>
    <w:rsid w:val="001441AD"/>
    <w:rsid w:val="00145A07"/>
    <w:rsid w:val="00145E32"/>
    <w:rsid w:val="00146DB3"/>
    <w:rsid w:val="00146E2E"/>
    <w:rsid w:val="00150E3A"/>
    <w:rsid w:val="0015100E"/>
    <w:rsid w:val="001510DA"/>
    <w:rsid w:val="00151132"/>
    <w:rsid w:val="00151140"/>
    <w:rsid w:val="001519CF"/>
    <w:rsid w:val="00151D94"/>
    <w:rsid w:val="001526CE"/>
    <w:rsid w:val="001531A3"/>
    <w:rsid w:val="0015372B"/>
    <w:rsid w:val="00153B32"/>
    <w:rsid w:val="00153BB7"/>
    <w:rsid w:val="00153C79"/>
    <w:rsid w:val="00153F40"/>
    <w:rsid w:val="00154124"/>
    <w:rsid w:val="001555A0"/>
    <w:rsid w:val="001559EF"/>
    <w:rsid w:val="00155E6C"/>
    <w:rsid w:val="00155F30"/>
    <w:rsid w:val="00156EFF"/>
    <w:rsid w:val="001602E3"/>
    <w:rsid w:val="001602F6"/>
    <w:rsid w:val="00160C0C"/>
    <w:rsid w:val="001615AB"/>
    <w:rsid w:val="0016302B"/>
    <w:rsid w:val="00163FE4"/>
    <w:rsid w:val="001641C7"/>
    <w:rsid w:val="00164D18"/>
    <w:rsid w:val="00164FFD"/>
    <w:rsid w:val="001653A7"/>
    <w:rsid w:val="00165B5E"/>
    <w:rsid w:val="001664A2"/>
    <w:rsid w:val="001666BF"/>
    <w:rsid w:val="001702F2"/>
    <w:rsid w:val="00170521"/>
    <w:rsid w:val="001707A6"/>
    <w:rsid w:val="00170A7D"/>
    <w:rsid w:val="00170C07"/>
    <w:rsid w:val="0017158D"/>
    <w:rsid w:val="0017223F"/>
    <w:rsid w:val="001731EA"/>
    <w:rsid w:val="001735C0"/>
    <w:rsid w:val="00176143"/>
    <w:rsid w:val="00176FFE"/>
    <w:rsid w:val="00177201"/>
    <w:rsid w:val="001775BC"/>
    <w:rsid w:val="0017774C"/>
    <w:rsid w:val="00177BCA"/>
    <w:rsid w:val="00180291"/>
    <w:rsid w:val="00180B40"/>
    <w:rsid w:val="001817F3"/>
    <w:rsid w:val="0018184E"/>
    <w:rsid w:val="00182232"/>
    <w:rsid w:val="00183375"/>
    <w:rsid w:val="00183479"/>
    <w:rsid w:val="0018387E"/>
    <w:rsid w:val="00183DE9"/>
    <w:rsid w:val="00183F0C"/>
    <w:rsid w:val="00185B5F"/>
    <w:rsid w:val="00185CC0"/>
    <w:rsid w:val="00185D11"/>
    <w:rsid w:val="001863C9"/>
    <w:rsid w:val="001927B1"/>
    <w:rsid w:val="00193C28"/>
    <w:rsid w:val="00194302"/>
    <w:rsid w:val="001958DA"/>
    <w:rsid w:val="00195C94"/>
    <w:rsid w:val="00195D40"/>
    <w:rsid w:val="00196345"/>
    <w:rsid w:val="00196EE6"/>
    <w:rsid w:val="0019763E"/>
    <w:rsid w:val="001A0091"/>
    <w:rsid w:val="001A0555"/>
    <w:rsid w:val="001A05A0"/>
    <w:rsid w:val="001A05DF"/>
    <w:rsid w:val="001A07A1"/>
    <w:rsid w:val="001A0BDE"/>
    <w:rsid w:val="001A0F76"/>
    <w:rsid w:val="001A3125"/>
    <w:rsid w:val="001A39E3"/>
    <w:rsid w:val="001A4E20"/>
    <w:rsid w:val="001A5363"/>
    <w:rsid w:val="001B0352"/>
    <w:rsid w:val="001B0978"/>
    <w:rsid w:val="001B0D6D"/>
    <w:rsid w:val="001B0E2B"/>
    <w:rsid w:val="001B24B5"/>
    <w:rsid w:val="001B3160"/>
    <w:rsid w:val="001B31CE"/>
    <w:rsid w:val="001B3910"/>
    <w:rsid w:val="001B4848"/>
    <w:rsid w:val="001B5483"/>
    <w:rsid w:val="001B5529"/>
    <w:rsid w:val="001B597B"/>
    <w:rsid w:val="001B679D"/>
    <w:rsid w:val="001B6E2B"/>
    <w:rsid w:val="001B7230"/>
    <w:rsid w:val="001B763C"/>
    <w:rsid w:val="001B7723"/>
    <w:rsid w:val="001B7EA2"/>
    <w:rsid w:val="001C0146"/>
    <w:rsid w:val="001C1B51"/>
    <w:rsid w:val="001C1BC7"/>
    <w:rsid w:val="001C3967"/>
    <w:rsid w:val="001C3DCA"/>
    <w:rsid w:val="001C447B"/>
    <w:rsid w:val="001C46A1"/>
    <w:rsid w:val="001C4E38"/>
    <w:rsid w:val="001C4F25"/>
    <w:rsid w:val="001C5030"/>
    <w:rsid w:val="001C5481"/>
    <w:rsid w:val="001C6291"/>
    <w:rsid w:val="001C649B"/>
    <w:rsid w:val="001C6F78"/>
    <w:rsid w:val="001C7E25"/>
    <w:rsid w:val="001D02DB"/>
    <w:rsid w:val="001D2D67"/>
    <w:rsid w:val="001D3675"/>
    <w:rsid w:val="001D3E7D"/>
    <w:rsid w:val="001D431D"/>
    <w:rsid w:val="001D466E"/>
    <w:rsid w:val="001D52F4"/>
    <w:rsid w:val="001D55B7"/>
    <w:rsid w:val="001D561B"/>
    <w:rsid w:val="001D5C03"/>
    <w:rsid w:val="001D5DE6"/>
    <w:rsid w:val="001D6783"/>
    <w:rsid w:val="001D681D"/>
    <w:rsid w:val="001D69CB"/>
    <w:rsid w:val="001D6CD8"/>
    <w:rsid w:val="001D6D2F"/>
    <w:rsid w:val="001D6E39"/>
    <w:rsid w:val="001D6E65"/>
    <w:rsid w:val="001D7116"/>
    <w:rsid w:val="001D766F"/>
    <w:rsid w:val="001D768E"/>
    <w:rsid w:val="001D79B5"/>
    <w:rsid w:val="001D7B22"/>
    <w:rsid w:val="001E0670"/>
    <w:rsid w:val="001E0825"/>
    <w:rsid w:val="001E1617"/>
    <w:rsid w:val="001E1AE7"/>
    <w:rsid w:val="001E23E7"/>
    <w:rsid w:val="001E31ED"/>
    <w:rsid w:val="001E3BDD"/>
    <w:rsid w:val="001E4434"/>
    <w:rsid w:val="001E4640"/>
    <w:rsid w:val="001E4DD3"/>
    <w:rsid w:val="001E5F8A"/>
    <w:rsid w:val="001E7C63"/>
    <w:rsid w:val="001E7CB2"/>
    <w:rsid w:val="001E7CD5"/>
    <w:rsid w:val="001E7EAD"/>
    <w:rsid w:val="001F04C6"/>
    <w:rsid w:val="001F05A0"/>
    <w:rsid w:val="001F0DA3"/>
    <w:rsid w:val="001F1AC5"/>
    <w:rsid w:val="001F1BAF"/>
    <w:rsid w:val="001F1C5A"/>
    <w:rsid w:val="001F294A"/>
    <w:rsid w:val="001F2C6D"/>
    <w:rsid w:val="001F2C75"/>
    <w:rsid w:val="001F3D0E"/>
    <w:rsid w:val="001F447A"/>
    <w:rsid w:val="001F5843"/>
    <w:rsid w:val="001F5C23"/>
    <w:rsid w:val="001F711A"/>
    <w:rsid w:val="001F7399"/>
    <w:rsid w:val="001F7DD0"/>
    <w:rsid w:val="0020050C"/>
    <w:rsid w:val="0020052D"/>
    <w:rsid w:val="00200837"/>
    <w:rsid w:val="00200868"/>
    <w:rsid w:val="00200AA6"/>
    <w:rsid w:val="00200E4F"/>
    <w:rsid w:val="00201107"/>
    <w:rsid w:val="00201198"/>
    <w:rsid w:val="002012CC"/>
    <w:rsid w:val="002022D5"/>
    <w:rsid w:val="0020345D"/>
    <w:rsid w:val="00203E34"/>
    <w:rsid w:val="002044E4"/>
    <w:rsid w:val="002045DA"/>
    <w:rsid w:val="00207599"/>
    <w:rsid w:val="00207843"/>
    <w:rsid w:val="0020789F"/>
    <w:rsid w:val="00207DFD"/>
    <w:rsid w:val="002107D9"/>
    <w:rsid w:val="00210D72"/>
    <w:rsid w:val="00210E6A"/>
    <w:rsid w:val="002110A6"/>
    <w:rsid w:val="0021129D"/>
    <w:rsid w:val="00211AF8"/>
    <w:rsid w:val="00211B1F"/>
    <w:rsid w:val="00211D76"/>
    <w:rsid w:val="00212319"/>
    <w:rsid w:val="00212798"/>
    <w:rsid w:val="00212D3C"/>
    <w:rsid w:val="00212D83"/>
    <w:rsid w:val="0021561F"/>
    <w:rsid w:val="00216BDF"/>
    <w:rsid w:val="002171E0"/>
    <w:rsid w:val="00217CAA"/>
    <w:rsid w:val="0022107C"/>
    <w:rsid w:val="00221D49"/>
    <w:rsid w:val="00221EA7"/>
    <w:rsid w:val="0022312D"/>
    <w:rsid w:val="002235F7"/>
    <w:rsid w:val="00223882"/>
    <w:rsid w:val="00224418"/>
    <w:rsid w:val="00224A35"/>
    <w:rsid w:val="00225255"/>
    <w:rsid w:val="00225582"/>
    <w:rsid w:val="00225BE3"/>
    <w:rsid w:val="00226E79"/>
    <w:rsid w:val="00227313"/>
    <w:rsid w:val="0022742C"/>
    <w:rsid w:val="002277D8"/>
    <w:rsid w:val="002304E6"/>
    <w:rsid w:val="002307CC"/>
    <w:rsid w:val="00230D6B"/>
    <w:rsid w:val="002316DB"/>
    <w:rsid w:val="00232342"/>
    <w:rsid w:val="00232F60"/>
    <w:rsid w:val="00233BE7"/>
    <w:rsid w:val="00234CA9"/>
    <w:rsid w:val="00235389"/>
    <w:rsid w:val="00235839"/>
    <w:rsid w:val="002359E5"/>
    <w:rsid w:val="002364D3"/>
    <w:rsid w:val="002365ED"/>
    <w:rsid w:val="002366BB"/>
    <w:rsid w:val="00237065"/>
    <w:rsid w:val="002371C4"/>
    <w:rsid w:val="002372E8"/>
    <w:rsid w:val="0023732B"/>
    <w:rsid w:val="00237672"/>
    <w:rsid w:val="0023772C"/>
    <w:rsid w:val="00237845"/>
    <w:rsid w:val="002378B2"/>
    <w:rsid w:val="00240118"/>
    <w:rsid w:val="0024013B"/>
    <w:rsid w:val="002409A7"/>
    <w:rsid w:val="00240D97"/>
    <w:rsid w:val="0024151C"/>
    <w:rsid w:val="00241638"/>
    <w:rsid w:val="00241CA1"/>
    <w:rsid w:val="00241F6C"/>
    <w:rsid w:val="00242612"/>
    <w:rsid w:val="00242744"/>
    <w:rsid w:val="002429AC"/>
    <w:rsid w:val="0024450C"/>
    <w:rsid w:val="002464C7"/>
    <w:rsid w:val="00246588"/>
    <w:rsid w:val="002468A8"/>
    <w:rsid w:val="00246BE4"/>
    <w:rsid w:val="00247626"/>
    <w:rsid w:val="0025047B"/>
    <w:rsid w:val="0025072A"/>
    <w:rsid w:val="00250BAD"/>
    <w:rsid w:val="00250DCD"/>
    <w:rsid w:val="0025169D"/>
    <w:rsid w:val="00251A9F"/>
    <w:rsid w:val="00252067"/>
    <w:rsid w:val="002530C4"/>
    <w:rsid w:val="00253207"/>
    <w:rsid w:val="002549CA"/>
    <w:rsid w:val="002553E3"/>
    <w:rsid w:val="002554DA"/>
    <w:rsid w:val="00256AD3"/>
    <w:rsid w:val="00257E82"/>
    <w:rsid w:val="00260FCC"/>
    <w:rsid w:val="00261AA5"/>
    <w:rsid w:val="00262103"/>
    <w:rsid w:val="00262630"/>
    <w:rsid w:val="00262C27"/>
    <w:rsid w:val="002640EC"/>
    <w:rsid w:val="00265089"/>
    <w:rsid w:val="0026569A"/>
    <w:rsid w:val="002667EA"/>
    <w:rsid w:val="00271554"/>
    <w:rsid w:val="002717F0"/>
    <w:rsid w:val="00272117"/>
    <w:rsid w:val="002722AC"/>
    <w:rsid w:val="00272494"/>
    <w:rsid w:val="0027263A"/>
    <w:rsid w:val="0027366B"/>
    <w:rsid w:val="002739C7"/>
    <w:rsid w:val="0027433F"/>
    <w:rsid w:val="002745AC"/>
    <w:rsid w:val="00274E0A"/>
    <w:rsid w:val="0027538D"/>
    <w:rsid w:val="00275F09"/>
    <w:rsid w:val="0027652C"/>
    <w:rsid w:val="00277654"/>
    <w:rsid w:val="00277A35"/>
    <w:rsid w:val="00277BA9"/>
    <w:rsid w:val="00280664"/>
    <w:rsid w:val="002807F8"/>
    <w:rsid w:val="0028134F"/>
    <w:rsid w:val="002819DC"/>
    <w:rsid w:val="002820B6"/>
    <w:rsid w:val="00282E4E"/>
    <w:rsid w:val="00283006"/>
    <w:rsid w:val="00283FDA"/>
    <w:rsid w:val="00284FFD"/>
    <w:rsid w:val="00285CA4"/>
    <w:rsid w:val="00286E51"/>
    <w:rsid w:val="002874D2"/>
    <w:rsid w:val="0028776B"/>
    <w:rsid w:val="00287BB7"/>
    <w:rsid w:val="00290583"/>
    <w:rsid w:val="0029094A"/>
    <w:rsid w:val="00290FFA"/>
    <w:rsid w:val="002913B5"/>
    <w:rsid w:val="00292CB0"/>
    <w:rsid w:val="00292D19"/>
    <w:rsid w:val="002936CC"/>
    <w:rsid w:val="00294A04"/>
    <w:rsid w:val="00294E83"/>
    <w:rsid w:val="0029583C"/>
    <w:rsid w:val="002A0F72"/>
    <w:rsid w:val="002A0F7F"/>
    <w:rsid w:val="002A17C0"/>
    <w:rsid w:val="002A1A5E"/>
    <w:rsid w:val="002A2AC2"/>
    <w:rsid w:val="002A2E80"/>
    <w:rsid w:val="002A383C"/>
    <w:rsid w:val="002A3A4E"/>
    <w:rsid w:val="002A4B3D"/>
    <w:rsid w:val="002A4DFF"/>
    <w:rsid w:val="002A4F0B"/>
    <w:rsid w:val="002A4F2D"/>
    <w:rsid w:val="002A50ED"/>
    <w:rsid w:val="002A721C"/>
    <w:rsid w:val="002A7A4F"/>
    <w:rsid w:val="002A7CFE"/>
    <w:rsid w:val="002B0583"/>
    <w:rsid w:val="002B07F2"/>
    <w:rsid w:val="002B17FA"/>
    <w:rsid w:val="002B1EEE"/>
    <w:rsid w:val="002B2963"/>
    <w:rsid w:val="002B2D9F"/>
    <w:rsid w:val="002B3130"/>
    <w:rsid w:val="002B3C9E"/>
    <w:rsid w:val="002B3DFD"/>
    <w:rsid w:val="002B52BA"/>
    <w:rsid w:val="002B531B"/>
    <w:rsid w:val="002B6153"/>
    <w:rsid w:val="002B6A7B"/>
    <w:rsid w:val="002B732D"/>
    <w:rsid w:val="002B74BA"/>
    <w:rsid w:val="002B7704"/>
    <w:rsid w:val="002C0809"/>
    <w:rsid w:val="002C080A"/>
    <w:rsid w:val="002C10FA"/>
    <w:rsid w:val="002C1DB3"/>
    <w:rsid w:val="002C2001"/>
    <w:rsid w:val="002C220F"/>
    <w:rsid w:val="002C38D7"/>
    <w:rsid w:val="002C3EA4"/>
    <w:rsid w:val="002C3F8A"/>
    <w:rsid w:val="002C4139"/>
    <w:rsid w:val="002C43CE"/>
    <w:rsid w:val="002C5A99"/>
    <w:rsid w:val="002C609F"/>
    <w:rsid w:val="002C627C"/>
    <w:rsid w:val="002C684B"/>
    <w:rsid w:val="002C7121"/>
    <w:rsid w:val="002D141C"/>
    <w:rsid w:val="002D1541"/>
    <w:rsid w:val="002D1936"/>
    <w:rsid w:val="002D3473"/>
    <w:rsid w:val="002D433D"/>
    <w:rsid w:val="002D4CE1"/>
    <w:rsid w:val="002D6348"/>
    <w:rsid w:val="002D6517"/>
    <w:rsid w:val="002D69F3"/>
    <w:rsid w:val="002D6A14"/>
    <w:rsid w:val="002D7489"/>
    <w:rsid w:val="002D7528"/>
    <w:rsid w:val="002E03BE"/>
    <w:rsid w:val="002E0517"/>
    <w:rsid w:val="002E178F"/>
    <w:rsid w:val="002E199C"/>
    <w:rsid w:val="002E1CC2"/>
    <w:rsid w:val="002E1EA0"/>
    <w:rsid w:val="002E2072"/>
    <w:rsid w:val="002E35F5"/>
    <w:rsid w:val="002E3782"/>
    <w:rsid w:val="002E3A9A"/>
    <w:rsid w:val="002E420E"/>
    <w:rsid w:val="002E50B2"/>
    <w:rsid w:val="002E50C9"/>
    <w:rsid w:val="002E545D"/>
    <w:rsid w:val="002E5D83"/>
    <w:rsid w:val="002E64F8"/>
    <w:rsid w:val="002E6BE3"/>
    <w:rsid w:val="002E6E63"/>
    <w:rsid w:val="002E6F3F"/>
    <w:rsid w:val="002E6F65"/>
    <w:rsid w:val="002E72A6"/>
    <w:rsid w:val="002E7700"/>
    <w:rsid w:val="002E7A8A"/>
    <w:rsid w:val="002F0547"/>
    <w:rsid w:val="002F10CB"/>
    <w:rsid w:val="002F115F"/>
    <w:rsid w:val="002F1F6C"/>
    <w:rsid w:val="002F3232"/>
    <w:rsid w:val="002F3255"/>
    <w:rsid w:val="002F34F7"/>
    <w:rsid w:val="002F44EF"/>
    <w:rsid w:val="002F476E"/>
    <w:rsid w:val="002F53EE"/>
    <w:rsid w:val="002F5A50"/>
    <w:rsid w:val="002F6B04"/>
    <w:rsid w:val="002F6B16"/>
    <w:rsid w:val="002F6E0B"/>
    <w:rsid w:val="002F7D38"/>
    <w:rsid w:val="00301C31"/>
    <w:rsid w:val="00302695"/>
    <w:rsid w:val="00302846"/>
    <w:rsid w:val="00302E49"/>
    <w:rsid w:val="003044BC"/>
    <w:rsid w:val="003060F5"/>
    <w:rsid w:val="0030623D"/>
    <w:rsid w:val="0030643C"/>
    <w:rsid w:val="003067F0"/>
    <w:rsid w:val="00307586"/>
    <w:rsid w:val="003079E9"/>
    <w:rsid w:val="003101DF"/>
    <w:rsid w:val="00310DCD"/>
    <w:rsid w:val="003131D6"/>
    <w:rsid w:val="00313E2F"/>
    <w:rsid w:val="00315E39"/>
    <w:rsid w:val="003174CE"/>
    <w:rsid w:val="00317AAE"/>
    <w:rsid w:val="00317F5B"/>
    <w:rsid w:val="00320C7D"/>
    <w:rsid w:val="0032124A"/>
    <w:rsid w:val="003215D6"/>
    <w:rsid w:val="00321747"/>
    <w:rsid w:val="0032176F"/>
    <w:rsid w:val="00321B72"/>
    <w:rsid w:val="00322BC0"/>
    <w:rsid w:val="00323B84"/>
    <w:rsid w:val="003250C6"/>
    <w:rsid w:val="00326947"/>
    <w:rsid w:val="0033038A"/>
    <w:rsid w:val="003303D5"/>
    <w:rsid w:val="00330DA9"/>
    <w:rsid w:val="0033136A"/>
    <w:rsid w:val="003319B1"/>
    <w:rsid w:val="003320E2"/>
    <w:rsid w:val="00332557"/>
    <w:rsid w:val="00332F9F"/>
    <w:rsid w:val="00333230"/>
    <w:rsid w:val="0033352B"/>
    <w:rsid w:val="00333C7C"/>
    <w:rsid w:val="0033435D"/>
    <w:rsid w:val="003364B6"/>
    <w:rsid w:val="00336729"/>
    <w:rsid w:val="00336906"/>
    <w:rsid w:val="00336A88"/>
    <w:rsid w:val="00336F27"/>
    <w:rsid w:val="00336FBC"/>
    <w:rsid w:val="003371AA"/>
    <w:rsid w:val="00337B26"/>
    <w:rsid w:val="00337C9C"/>
    <w:rsid w:val="00340A02"/>
    <w:rsid w:val="003414D3"/>
    <w:rsid w:val="003416EB"/>
    <w:rsid w:val="00342633"/>
    <w:rsid w:val="0034397D"/>
    <w:rsid w:val="00343D70"/>
    <w:rsid w:val="00343E32"/>
    <w:rsid w:val="00344362"/>
    <w:rsid w:val="00344824"/>
    <w:rsid w:val="00345333"/>
    <w:rsid w:val="00345D44"/>
    <w:rsid w:val="00345E9A"/>
    <w:rsid w:val="00345F86"/>
    <w:rsid w:val="00346E1A"/>
    <w:rsid w:val="00347456"/>
    <w:rsid w:val="00347685"/>
    <w:rsid w:val="00347722"/>
    <w:rsid w:val="00347E46"/>
    <w:rsid w:val="00347E8B"/>
    <w:rsid w:val="00347F81"/>
    <w:rsid w:val="00351047"/>
    <w:rsid w:val="00351E4D"/>
    <w:rsid w:val="0035206F"/>
    <w:rsid w:val="003520F8"/>
    <w:rsid w:val="0035256E"/>
    <w:rsid w:val="0035261A"/>
    <w:rsid w:val="00353583"/>
    <w:rsid w:val="003547F6"/>
    <w:rsid w:val="0035654F"/>
    <w:rsid w:val="00356A94"/>
    <w:rsid w:val="00356B59"/>
    <w:rsid w:val="0035757C"/>
    <w:rsid w:val="00357E85"/>
    <w:rsid w:val="0036039F"/>
    <w:rsid w:val="0036102F"/>
    <w:rsid w:val="00361D0B"/>
    <w:rsid w:val="00362896"/>
    <w:rsid w:val="00362F63"/>
    <w:rsid w:val="00363441"/>
    <w:rsid w:val="00363566"/>
    <w:rsid w:val="003636A3"/>
    <w:rsid w:val="003648DC"/>
    <w:rsid w:val="00364C75"/>
    <w:rsid w:val="0036571B"/>
    <w:rsid w:val="003663D7"/>
    <w:rsid w:val="00367164"/>
    <w:rsid w:val="003675F3"/>
    <w:rsid w:val="00367DB5"/>
    <w:rsid w:val="00367DF5"/>
    <w:rsid w:val="00367ED5"/>
    <w:rsid w:val="00370F62"/>
    <w:rsid w:val="00371654"/>
    <w:rsid w:val="00371A51"/>
    <w:rsid w:val="00372552"/>
    <w:rsid w:val="003725AB"/>
    <w:rsid w:val="0037278C"/>
    <w:rsid w:val="00372AEF"/>
    <w:rsid w:val="00372FFC"/>
    <w:rsid w:val="003731C4"/>
    <w:rsid w:val="00373334"/>
    <w:rsid w:val="00374279"/>
    <w:rsid w:val="00374398"/>
    <w:rsid w:val="00374832"/>
    <w:rsid w:val="00374EEC"/>
    <w:rsid w:val="0037512E"/>
    <w:rsid w:val="003751FE"/>
    <w:rsid w:val="00375B70"/>
    <w:rsid w:val="003769ED"/>
    <w:rsid w:val="00376C43"/>
    <w:rsid w:val="00377085"/>
    <w:rsid w:val="003773FC"/>
    <w:rsid w:val="003779C8"/>
    <w:rsid w:val="00380127"/>
    <w:rsid w:val="003801F6"/>
    <w:rsid w:val="003808BE"/>
    <w:rsid w:val="00380C24"/>
    <w:rsid w:val="003817A6"/>
    <w:rsid w:val="00381F45"/>
    <w:rsid w:val="003824A3"/>
    <w:rsid w:val="003826DA"/>
    <w:rsid w:val="00383D33"/>
    <w:rsid w:val="00383F1E"/>
    <w:rsid w:val="0038406B"/>
    <w:rsid w:val="003848B7"/>
    <w:rsid w:val="0038531A"/>
    <w:rsid w:val="00385A14"/>
    <w:rsid w:val="00387A59"/>
    <w:rsid w:val="0039075C"/>
    <w:rsid w:val="003909FB"/>
    <w:rsid w:val="00390BA3"/>
    <w:rsid w:val="00391497"/>
    <w:rsid w:val="00391628"/>
    <w:rsid w:val="00391D57"/>
    <w:rsid w:val="0039311F"/>
    <w:rsid w:val="00393502"/>
    <w:rsid w:val="00393585"/>
    <w:rsid w:val="003937D6"/>
    <w:rsid w:val="00393BCF"/>
    <w:rsid w:val="00393D6C"/>
    <w:rsid w:val="00393DC1"/>
    <w:rsid w:val="0039403C"/>
    <w:rsid w:val="0039659E"/>
    <w:rsid w:val="0039664E"/>
    <w:rsid w:val="003967F8"/>
    <w:rsid w:val="003A0054"/>
    <w:rsid w:val="003A0550"/>
    <w:rsid w:val="003A06C6"/>
    <w:rsid w:val="003A0E2E"/>
    <w:rsid w:val="003A1174"/>
    <w:rsid w:val="003A137C"/>
    <w:rsid w:val="003A167A"/>
    <w:rsid w:val="003A1788"/>
    <w:rsid w:val="003A3553"/>
    <w:rsid w:val="003A3934"/>
    <w:rsid w:val="003A4F3F"/>
    <w:rsid w:val="003A57F5"/>
    <w:rsid w:val="003A5EE3"/>
    <w:rsid w:val="003A6605"/>
    <w:rsid w:val="003A68C3"/>
    <w:rsid w:val="003A6932"/>
    <w:rsid w:val="003A6C8C"/>
    <w:rsid w:val="003B0105"/>
    <w:rsid w:val="003B09B1"/>
    <w:rsid w:val="003B1E9B"/>
    <w:rsid w:val="003B259A"/>
    <w:rsid w:val="003B3D68"/>
    <w:rsid w:val="003B4B48"/>
    <w:rsid w:val="003B57B0"/>
    <w:rsid w:val="003B5E7B"/>
    <w:rsid w:val="003B7202"/>
    <w:rsid w:val="003B7A99"/>
    <w:rsid w:val="003C0963"/>
    <w:rsid w:val="003C146E"/>
    <w:rsid w:val="003C162A"/>
    <w:rsid w:val="003C1679"/>
    <w:rsid w:val="003C1C82"/>
    <w:rsid w:val="003C1CC6"/>
    <w:rsid w:val="003C1FD5"/>
    <w:rsid w:val="003C258E"/>
    <w:rsid w:val="003C2B14"/>
    <w:rsid w:val="003C2C64"/>
    <w:rsid w:val="003C4A56"/>
    <w:rsid w:val="003C5DB9"/>
    <w:rsid w:val="003C6582"/>
    <w:rsid w:val="003C6F00"/>
    <w:rsid w:val="003C72EB"/>
    <w:rsid w:val="003C78DD"/>
    <w:rsid w:val="003C7F52"/>
    <w:rsid w:val="003D1101"/>
    <w:rsid w:val="003D127F"/>
    <w:rsid w:val="003D2B8F"/>
    <w:rsid w:val="003D2F04"/>
    <w:rsid w:val="003D360D"/>
    <w:rsid w:val="003D3D4C"/>
    <w:rsid w:val="003D4968"/>
    <w:rsid w:val="003D4A5F"/>
    <w:rsid w:val="003D514F"/>
    <w:rsid w:val="003D5A65"/>
    <w:rsid w:val="003D5BA7"/>
    <w:rsid w:val="003D5BBC"/>
    <w:rsid w:val="003D60D3"/>
    <w:rsid w:val="003D65E8"/>
    <w:rsid w:val="003D702E"/>
    <w:rsid w:val="003D7A8F"/>
    <w:rsid w:val="003D7D15"/>
    <w:rsid w:val="003D7EE4"/>
    <w:rsid w:val="003E0205"/>
    <w:rsid w:val="003E02C3"/>
    <w:rsid w:val="003E04C9"/>
    <w:rsid w:val="003E1913"/>
    <w:rsid w:val="003E333A"/>
    <w:rsid w:val="003E36B1"/>
    <w:rsid w:val="003E3C32"/>
    <w:rsid w:val="003E40E7"/>
    <w:rsid w:val="003E4162"/>
    <w:rsid w:val="003E5161"/>
    <w:rsid w:val="003E538D"/>
    <w:rsid w:val="003E5AFA"/>
    <w:rsid w:val="003E6315"/>
    <w:rsid w:val="003E7270"/>
    <w:rsid w:val="003E72D7"/>
    <w:rsid w:val="003E74B2"/>
    <w:rsid w:val="003E78D3"/>
    <w:rsid w:val="003E796C"/>
    <w:rsid w:val="003E7CD5"/>
    <w:rsid w:val="003F03E8"/>
    <w:rsid w:val="003F0624"/>
    <w:rsid w:val="003F0C7C"/>
    <w:rsid w:val="003F0D57"/>
    <w:rsid w:val="003F1CD8"/>
    <w:rsid w:val="003F1DBF"/>
    <w:rsid w:val="003F1E7D"/>
    <w:rsid w:val="003F2181"/>
    <w:rsid w:val="003F2A78"/>
    <w:rsid w:val="003F330F"/>
    <w:rsid w:val="003F37C7"/>
    <w:rsid w:val="003F38C6"/>
    <w:rsid w:val="003F3D6C"/>
    <w:rsid w:val="003F4A35"/>
    <w:rsid w:val="003F4CE5"/>
    <w:rsid w:val="003F4D6C"/>
    <w:rsid w:val="003F623D"/>
    <w:rsid w:val="003F65A1"/>
    <w:rsid w:val="003F6A33"/>
    <w:rsid w:val="003F6E0C"/>
    <w:rsid w:val="003F6E5E"/>
    <w:rsid w:val="003F7279"/>
    <w:rsid w:val="003F7944"/>
    <w:rsid w:val="003F7B5F"/>
    <w:rsid w:val="003F7CBD"/>
    <w:rsid w:val="00400149"/>
    <w:rsid w:val="004008F5"/>
    <w:rsid w:val="00400A37"/>
    <w:rsid w:val="00400E3B"/>
    <w:rsid w:val="004030AE"/>
    <w:rsid w:val="004038D1"/>
    <w:rsid w:val="00404496"/>
    <w:rsid w:val="004047DD"/>
    <w:rsid w:val="00404ECC"/>
    <w:rsid w:val="00405793"/>
    <w:rsid w:val="00406241"/>
    <w:rsid w:val="00406B18"/>
    <w:rsid w:val="00406F7E"/>
    <w:rsid w:val="004077DD"/>
    <w:rsid w:val="00407BB1"/>
    <w:rsid w:val="00411765"/>
    <w:rsid w:val="00411A9F"/>
    <w:rsid w:val="00411B9C"/>
    <w:rsid w:val="00411C27"/>
    <w:rsid w:val="004122BB"/>
    <w:rsid w:val="0041246C"/>
    <w:rsid w:val="00412769"/>
    <w:rsid w:val="00413A0B"/>
    <w:rsid w:val="0041497E"/>
    <w:rsid w:val="00414BEC"/>
    <w:rsid w:val="00415414"/>
    <w:rsid w:val="004154AE"/>
    <w:rsid w:val="00415E05"/>
    <w:rsid w:val="00416320"/>
    <w:rsid w:val="004166D7"/>
    <w:rsid w:val="00416ABA"/>
    <w:rsid w:val="0041741C"/>
    <w:rsid w:val="00417B70"/>
    <w:rsid w:val="004204AF"/>
    <w:rsid w:val="004218FF"/>
    <w:rsid w:val="004223FE"/>
    <w:rsid w:val="00423ADD"/>
    <w:rsid w:val="00423BC0"/>
    <w:rsid w:val="004241B6"/>
    <w:rsid w:val="00424975"/>
    <w:rsid w:val="00425299"/>
    <w:rsid w:val="00425351"/>
    <w:rsid w:val="00430456"/>
    <w:rsid w:val="00431055"/>
    <w:rsid w:val="004313FB"/>
    <w:rsid w:val="00431E50"/>
    <w:rsid w:val="00432AB2"/>
    <w:rsid w:val="00433057"/>
    <w:rsid w:val="004331B0"/>
    <w:rsid w:val="00433814"/>
    <w:rsid w:val="00435537"/>
    <w:rsid w:val="00436236"/>
    <w:rsid w:val="00436842"/>
    <w:rsid w:val="004404F8"/>
    <w:rsid w:val="00440779"/>
    <w:rsid w:val="00440BC6"/>
    <w:rsid w:val="00440E76"/>
    <w:rsid w:val="00441716"/>
    <w:rsid w:val="00441DDC"/>
    <w:rsid w:val="00441F7B"/>
    <w:rsid w:val="0044306B"/>
    <w:rsid w:val="004438CC"/>
    <w:rsid w:val="00443963"/>
    <w:rsid w:val="00443BCF"/>
    <w:rsid w:val="00444313"/>
    <w:rsid w:val="00444BD2"/>
    <w:rsid w:val="00444BFE"/>
    <w:rsid w:val="00444CBF"/>
    <w:rsid w:val="00444EA4"/>
    <w:rsid w:val="0044554B"/>
    <w:rsid w:val="004458D6"/>
    <w:rsid w:val="00446238"/>
    <w:rsid w:val="00446345"/>
    <w:rsid w:val="00446403"/>
    <w:rsid w:val="00451C3A"/>
    <w:rsid w:val="00451FEC"/>
    <w:rsid w:val="00454347"/>
    <w:rsid w:val="00455AEB"/>
    <w:rsid w:val="00455F92"/>
    <w:rsid w:val="00456288"/>
    <w:rsid w:val="00456D93"/>
    <w:rsid w:val="00456E1F"/>
    <w:rsid w:val="004602C7"/>
    <w:rsid w:val="0046034C"/>
    <w:rsid w:val="004603EB"/>
    <w:rsid w:val="00460B5D"/>
    <w:rsid w:val="00461D4F"/>
    <w:rsid w:val="00461F42"/>
    <w:rsid w:val="0046271E"/>
    <w:rsid w:val="00463345"/>
    <w:rsid w:val="004633C8"/>
    <w:rsid w:val="00464378"/>
    <w:rsid w:val="0046438C"/>
    <w:rsid w:val="00464CC6"/>
    <w:rsid w:val="00465148"/>
    <w:rsid w:val="0046548D"/>
    <w:rsid w:val="004655CB"/>
    <w:rsid w:val="00465A95"/>
    <w:rsid w:val="00465C0C"/>
    <w:rsid w:val="00465E90"/>
    <w:rsid w:val="00466514"/>
    <w:rsid w:val="004670A7"/>
    <w:rsid w:val="0046739E"/>
    <w:rsid w:val="004676AE"/>
    <w:rsid w:val="0046777C"/>
    <w:rsid w:val="00467CF6"/>
    <w:rsid w:val="0047096A"/>
    <w:rsid w:val="0047157B"/>
    <w:rsid w:val="004732A7"/>
    <w:rsid w:val="004742A6"/>
    <w:rsid w:val="00474627"/>
    <w:rsid w:val="00475061"/>
    <w:rsid w:val="004763D3"/>
    <w:rsid w:val="00476B39"/>
    <w:rsid w:val="00476F90"/>
    <w:rsid w:val="00476FA3"/>
    <w:rsid w:val="00476FB1"/>
    <w:rsid w:val="00477B87"/>
    <w:rsid w:val="00480690"/>
    <w:rsid w:val="00481CF8"/>
    <w:rsid w:val="0048220F"/>
    <w:rsid w:val="0048224E"/>
    <w:rsid w:val="00482360"/>
    <w:rsid w:val="00482A9A"/>
    <w:rsid w:val="0048462B"/>
    <w:rsid w:val="00485282"/>
    <w:rsid w:val="00485BAF"/>
    <w:rsid w:val="00486743"/>
    <w:rsid w:val="00486ECD"/>
    <w:rsid w:val="00491579"/>
    <w:rsid w:val="0049184E"/>
    <w:rsid w:val="00491917"/>
    <w:rsid w:val="00491E19"/>
    <w:rsid w:val="00492184"/>
    <w:rsid w:val="00492C2D"/>
    <w:rsid w:val="00492C5F"/>
    <w:rsid w:val="00492CC3"/>
    <w:rsid w:val="00492E8E"/>
    <w:rsid w:val="00493494"/>
    <w:rsid w:val="0049397D"/>
    <w:rsid w:val="00494267"/>
    <w:rsid w:val="00494C78"/>
    <w:rsid w:val="004969F4"/>
    <w:rsid w:val="004971A4"/>
    <w:rsid w:val="004A01EB"/>
    <w:rsid w:val="004A0441"/>
    <w:rsid w:val="004A093C"/>
    <w:rsid w:val="004A0A26"/>
    <w:rsid w:val="004A1235"/>
    <w:rsid w:val="004A125C"/>
    <w:rsid w:val="004A17A1"/>
    <w:rsid w:val="004A1B4F"/>
    <w:rsid w:val="004A20A6"/>
    <w:rsid w:val="004A2EFC"/>
    <w:rsid w:val="004A36C9"/>
    <w:rsid w:val="004A3980"/>
    <w:rsid w:val="004A3D87"/>
    <w:rsid w:val="004A4136"/>
    <w:rsid w:val="004A553A"/>
    <w:rsid w:val="004A55D3"/>
    <w:rsid w:val="004A6726"/>
    <w:rsid w:val="004A70AC"/>
    <w:rsid w:val="004A7404"/>
    <w:rsid w:val="004A74EA"/>
    <w:rsid w:val="004B121D"/>
    <w:rsid w:val="004B1772"/>
    <w:rsid w:val="004B18A9"/>
    <w:rsid w:val="004B1ACC"/>
    <w:rsid w:val="004B2F03"/>
    <w:rsid w:val="004B34E1"/>
    <w:rsid w:val="004B3F51"/>
    <w:rsid w:val="004B4104"/>
    <w:rsid w:val="004B458C"/>
    <w:rsid w:val="004B5832"/>
    <w:rsid w:val="004B5A0B"/>
    <w:rsid w:val="004B664F"/>
    <w:rsid w:val="004B780B"/>
    <w:rsid w:val="004B7B2D"/>
    <w:rsid w:val="004C04AB"/>
    <w:rsid w:val="004C07C8"/>
    <w:rsid w:val="004C0CDA"/>
    <w:rsid w:val="004C1082"/>
    <w:rsid w:val="004C15E8"/>
    <w:rsid w:val="004C1D4B"/>
    <w:rsid w:val="004C274C"/>
    <w:rsid w:val="004C27B5"/>
    <w:rsid w:val="004C4075"/>
    <w:rsid w:val="004C464E"/>
    <w:rsid w:val="004C4C35"/>
    <w:rsid w:val="004C5B98"/>
    <w:rsid w:val="004C5C9D"/>
    <w:rsid w:val="004C6DD1"/>
    <w:rsid w:val="004C73AB"/>
    <w:rsid w:val="004C7517"/>
    <w:rsid w:val="004C7911"/>
    <w:rsid w:val="004C7A52"/>
    <w:rsid w:val="004D01B2"/>
    <w:rsid w:val="004D0DF9"/>
    <w:rsid w:val="004D2320"/>
    <w:rsid w:val="004D232D"/>
    <w:rsid w:val="004D31BC"/>
    <w:rsid w:val="004D33C6"/>
    <w:rsid w:val="004D3A03"/>
    <w:rsid w:val="004D40AF"/>
    <w:rsid w:val="004D478B"/>
    <w:rsid w:val="004D4F8C"/>
    <w:rsid w:val="004D5A76"/>
    <w:rsid w:val="004D69DF"/>
    <w:rsid w:val="004D6B86"/>
    <w:rsid w:val="004D7D00"/>
    <w:rsid w:val="004E034E"/>
    <w:rsid w:val="004E053B"/>
    <w:rsid w:val="004E05F0"/>
    <w:rsid w:val="004E0A6D"/>
    <w:rsid w:val="004E2C3A"/>
    <w:rsid w:val="004E2D31"/>
    <w:rsid w:val="004E3756"/>
    <w:rsid w:val="004E3C26"/>
    <w:rsid w:val="004E4E1E"/>
    <w:rsid w:val="004E5896"/>
    <w:rsid w:val="004E59E4"/>
    <w:rsid w:val="004E6FDD"/>
    <w:rsid w:val="004E7283"/>
    <w:rsid w:val="004F0E34"/>
    <w:rsid w:val="004F0EB4"/>
    <w:rsid w:val="004F0EE8"/>
    <w:rsid w:val="004F18E3"/>
    <w:rsid w:val="004F225C"/>
    <w:rsid w:val="004F2A8D"/>
    <w:rsid w:val="004F3696"/>
    <w:rsid w:val="004F408A"/>
    <w:rsid w:val="004F4D01"/>
    <w:rsid w:val="004F591D"/>
    <w:rsid w:val="004F5A75"/>
    <w:rsid w:val="004F5BFA"/>
    <w:rsid w:val="004F6013"/>
    <w:rsid w:val="004F61EC"/>
    <w:rsid w:val="004F6434"/>
    <w:rsid w:val="004F6FAC"/>
    <w:rsid w:val="004F7063"/>
    <w:rsid w:val="00501F6A"/>
    <w:rsid w:val="0050212D"/>
    <w:rsid w:val="0050392F"/>
    <w:rsid w:val="00504B7C"/>
    <w:rsid w:val="00504F88"/>
    <w:rsid w:val="0050503E"/>
    <w:rsid w:val="0050657E"/>
    <w:rsid w:val="005066BB"/>
    <w:rsid w:val="00506CDF"/>
    <w:rsid w:val="00507DDA"/>
    <w:rsid w:val="00510177"/>
    <w:rsid w:val="00510C97"/>
    <w:rsid w:val="00510CFA"/>
    <w:rsid w:val="00512A9B"/>
    <w:rsid w:val="00512EF7"/>
    <w:rsid w:val="005131BA"/>
    <w:rsid w:val="0051322C"/>
    <w:rsid w:val="00514CE7"/>
    <w:rsid w:val="00515A70"/>
    <w:rsid w:val="0051649A"/>
    <w:rsid w:val="005167BE"/>
    <w:rsid w:val="00516BD6"/>
    <w:rsid w:val="00517339"/>
    <w:rsid w:val="00521D4F"/>
    <w:rsid w:val="00521FD6"/>
    <w:rsid w:val="0052285D"/>
    <w:rsid w:val="00522B95"/>
    <w:rsid w:val="00523A46"/>
    <w:rsid w:val="00523D9A"/>
    <w:rsid w:val="00524227"/>
    <w:rsid w:val="005242D5"/>
    <w:rsid w:val="00524334"/>
    <w:rsid w:val="00524498"/>
    <w:rsid w:val="00525922"/>
    <w:rsid w:val="00526A00"/>
    <w:rsid w:val="00526C59"/>
    <w:rsid w:val="00527583"/>
    <w:rsid w:val="0052768A"/>
    <w:rsid w:val="0052776D"/>
    <w:rsid w:val="005301F9"/>
    <w:rsid w:val="00530383"/>
    <w:rsid w:val="005309C2"/>
    <w:rsid w:val="005335AA"/>
    <w:rsid w:val="00533FFE"/>
    <w:rsid w:val="00534328"/>
    <w:rsid w:val="00534485"/>
    <w:rsid w:val="00534CF9"/>
    <w:rsid w:val="005351E6"/>
    <w:rsid w:val="00536B52"/>
    <w:rsid w:val="005373EE"/>
    <w:rsid w:val="00537B8E"/>
    <w:rsid w:val="00540C1B"/>
    <w:rsid w:val="00541317"/>
    <w:rsid w:val="00541B28"/>
    <w:rsid w:val="00541ED5"/>
    <w:rsid w:val="00542977"/>
    <w:rsid w:val="0054356B"/>
    <w:rsid w:val="00543B3A"/>
    <w:rsid w:val="00543F6D"/>
    <w:rsid w:val="00544370"/>
    <w:rsid w:val="005459E3"/>
    <w:rsid w:val="00546939"/>
    <w:rsid w:val="00547931"/>
    <w:rsid w:val="0055005F"/>
    <w:rsid w:val="00550A0A"/>
    <w:rsid w:val="00551634"/>
    <w:rsid w:val="00551785"/>
    <w:rsid w:val="00551BE9"/>
    <w:rsid w:val="0055226A"/>
    <w:rsid w:val="0055242C"/>
    <w:rsid w:val="005546E2"/>
    <w:rsid w:val="00555300"/>
    <w:rsid w:val="00555B18"/>
    <w:rsid w:val="00555B6E"/>
    <w:rsid w:val="00556F50"/>
    <w:rsid w:val="00560DE3"/>
    <w:rsid w:val="005612A9"/>
    <w:rsid w:val="00562393"/>
    <w:rsid w:val="00562803"/>
    <w:rsid w:val="00563103"/>
    <w:rsid w:val="00563CB1"/>
    <w:rsid w:val="00563E34"/>
    <w:rsid w:val="005648BC"/>
    <w:rsid w:val="005652B5"/>
    <w:rsid w:val="00566991"/>
    <w:rsid w:val="0056705F"/>
    <w:rsid w:val="005676B2"/>
    <w:rsid w:val="00571CC3"/>
    <w:rsid w:val="0057246F"/>
    <w:rsid w:val="00572595"/>
    <w:rsid w:val="005726E4"/>
    <w:rsid w:val="00573AEE"/>
    <w:rsid w:val="005743D6"/>
    <w:rsid w:val="00574B25"/>
    <w:rsid w:val="005761B1"/>
    <w:rsid w:val="00576874"/>
    <w:rsid w:val="00577248"/>
    <w:rsid w:val="00580CF9"/>
    <w:rsid w:val="00580DA8"/>
    <w:rsid w:val="00581E1A"/>
    <w:rsid w:val="00582D61"/>
    <w:rsid w:val="005834D5"/>
    <w:rsid w:val="00583A09"/>
    <w:rsid w:val="005840C4"/>
    <w:rsid w:val="00584771"/>
    <w:rsid w:val="00584814"/>
    <w:rsid w:val="00584CC9"/>
    <w:rsid w:val="00585333"/>
    <w:rsid w:val="0058677F"/>
    <w:rsid w:val="005909EF"/>
    <w:rsid w:val="00591C61"/>
    <w:rsid w:val="005931C2"/>
    <w:rsid w:val="00593735"/>
    <w:rsid w:val="00593B94"/>
    <w:rsid w:val="00594F4F"/>
    <w:rsid w:val="005953F5"/>
    <w:rsid w:val="00595412"/>
    <w:rsid w:val="005954AD"/>
    <w:rsid w:val="005959FD"/>
    <w:rsid w:val="00595B09"/>
    <w:rsid w:val="005967ED"/>
    <w:rsid w:val="0059696B"/>
    <w:rsid w:val="0059747F"/>
    <w:rsid w:val="00597CA6"/>
    <w:rsid w:val="005A0E6F"/>
    <w:rsid w:val="005A194A"/>
    <w:rsid w:val="005A197A"/>
    <w:rsid w:val="005A224F"/>
    <w:rsid w:val="005A22F6"/>
    <w:rsid w:val="005A28A3"/>
    <w:rsid w:val="005A297D"/>
    <w:rsid w:val="005A2CD0"/>
    <w:rsid w:val="005A34BC"/>
    <w:rsid w:val="005A374E"/>
    <w:rsid w:val="005A3AF4"/>
    <w:rsid w:val="005A3B6C"/>
    <w:rsid w:val="005A4141"/>
    <w:rsid w:val="005A4CA6"/>
    <w:rsid w:val="005A4FBF"/>
    <w:rsid w:val="005A554D"/>
    <w:rsid w:val="005A66F9"/>
    <w:rsid w:val="005A7038"/>
    <w:rsid w:val="005A70EF"/>
    <w:rsid w:val="005A7A29"/>
    <w:rsid w:val="005B123B"/>
    <w:rsid w:val="005B12D5"/>
    <w:rsid w:val="005B2C6C"/>
    <w:rsid w:val="005B2EC3"/>
    <w:rsid w:val="005B4115"/>
    <w:rsid w:val="005B491C"/>
    <w:rsid w:val="005B4B97"/>
    <w:rsid w:val="005B4D99"/>
    <w:rsid w:val="005B5177"/>
    <w:rsid w:val="005B5B1D"/>
    <w:rsid w:val="005B71B9"/>
    <w:rsid w:val="005B741C"/>
    <w:rsid w:val="005B7ABE"/>
    <w:rsid w:val="005C040D"/>
    <w:rsid w:val="005C0445"/>
    <w:rsid w:val="005C1007"/>
    <w:rsid w:val="005C1F1E"/>
    <w:rsid w:val="005C2749"/>
    <w:rsid w:val="005C3177"/>
    <w:rsid w:val="005C490F"/>
    <w:rsid w:val="005C5FBF"/>
    <w:rsid w:val="005C6265"/>
    <w:rsid w:val="005C675F"/>
    <w:rsid w:val="005C6831"/>
    <w:rsid w:val="005C6B4A"/>
    <w:rsid w:val="005C6EB1"/>
    <w:rsid w:val="005C7B16"/>
    <w:rsid w:val="005D0465"/>
    <w:rsid w:val="005D0E7F"/>
    <w:rsid w:val="005D1191"/>
    <w:rsid w:val="005D156E"/>
    <w:rsid w:val="005D1954"/>
    <w:rsid w:val="005D2269"/>
    <w:rsid w:val="005D388B"/>
    <w:rsid w:val="005D3B19"/>
    <w:rsid w:val="005D466A"/>
    <w:rsid w:val="005D4D1A"/>
    <w:rsid w:val="005D5000"/>
    <w:rsid w:val="005D553A"/>
    <w:rsid w:val="005D5C36"/>
    <w:rsid w:val="005D630C"/>
    <w:rsid w:val="005D67C8"/>
    <w:rsid w:val="005D78CE"/>
    <w:rsid w:val="005E0C3B"/>
    <w:rsid w:val="005E0CD9"/>
    <w:rsid w:val="005E1719"/>
    <w:rsid w:val="005E17E5"/>
    <w:rsid w:val="005E1D4B"/>
    <w:rsid w:val="005E2C97"/>
    <w:rsid w:val="005E2F02"/>
    <w:rsid w:val="005E3B02"/>
    <w:rsid w:val="005E543A"/>
    <w:rsid w:val="005E5BA3"/>
    <w:rsid w:val="005E64C4"/>
    <w:rsid w:val="005E78D9"/>
    <w:rsid w:val="005E78FC"/>
    <w:rsid w:val="005E7E10"/>
    <w:rsid w:val="005F0B6B"/>
    <w:rsid w:val="005F148D"/>
    <w:rsid w:val="005F17BD"/>
    <w:rsid w:val="005F1DF5"/>
    <w:rsid w:val="005F2819"/>
    <w:rsid w:val="005F4272"/>
    <w:rsid w:val="005F5181"/>
    <w:rsid w:val="005F57AD"/>
    <w:rsid w:val="005F58F7"/>
    <w:rsid w:val="005F62F4"/>
    <w:rsid w:val="005F6A58"/>
    <w:rsid w:val="005F6BD1"/>
    <w:rsid w:val="005F6C9C"/>
    <w:rsid w:val="005F7B33"/>
    <w:rsid w:val="005F7C1B"/>
    <w:rsid w:val="005F7F77"/>
    <w:rsid w:val="00601699"/>
    <w:rsid w:val="0060183B"/>
    <w:rsid w:val="00601DBE"/>
    <w:rsid w:val="00601E3C"/>
    <w:rsid w:val="00602E29"/>
    <w:rsid w:val="00602EB3"/>
    <w:rsid w:val="006041C7"/>
    <w:rsid w:val="00605E89"/>
    <w:rsid w:val="0060657B"/>
    <w:rsid w:val="00606707"/>
    <w:rsid w:val="00606B7B"/>
    <w:rsid w:val="006070D9"/>
    <w:rsid w:val="00607605"/>
    <w:rsid w:val="00607751"/>
    <w:rsid w:val="00607FE6"/>
    <w:rsid w:val="0061012F"/>
    <w:rsid w:val="00610808"/>
    <w:rsid w:val="00610C17"/>
    <w:rsid w:val="00610C7F"/>
    <w:rsid w:val="00610CF8"/>
    <w:rsid w:val="00611B95"/>
    <w:rsid w:val="0061342C"/>
    <w:rsid w:val="00613C36"/>
    <w:rsid w:val="00614121"/>
    <w:rsid w:val="00614499"/>
    <w:rsid w:val="00614A8E"/>
    <w:rsid w:val="006155EF"/>
    <w:rsid w:val="006156A9"/>
    <w:rsid w:val="00616F75"/>
    <w:rsid w:val="0061747E"/>
    <w:rsid w:val="00620318"/>
    <w:rsid w:val="00620434"/>
    <w:rsid w:val="00621DED"/>
    <w:rsid w:val="00621F4B"/>
    <w:rsid w:val="006223BD"/>
    <w:rsid w:val="006224B7"/>
    <w:rsid w:val="00623014"/>
    <w:rsid w:val="0062346A"/>
    <w:rsid w:val="00623B59"/>
    <w:rsid w:val="00623D33"/>
    <w:rsid w:val="006246E7"/>
    <w:rsid w:val="00624885"/>
    <w:rsid w:val="00625FBB"/>
    <w:rsid w:val="00627782"/>
    <w:rsid w:val="00627FB6"/>
    <w:rsid w:val="0063001D"/>
    <w:rsid w:val="006310AE"/>
    <w:rsid w:val="00631D84"/>
    <w:rsid w:val="006322F0"/>
    <w:rsid w:val="006329FC"/>
    <w:rsid w:val="00632F61"/>
    <w:rsid w:val="0063339C"/>
    <w:rsid w:val="006340B0"/>
    <w:rsid w:val="006349C2"/>
    <w:rsid w:val="00635791"/>
    <w:rsid w:val="0063598D"/>
    <w:rsid w:val="00635AC2"/>
    <w:rsid w:val="00635DE5"/>
    <w:rsid w:val="006363A3"/>
    <w:rsid w:val="006363E3"/>
    <w:rsid w:val="006363ED"/>
    <w:rsid w:val="00636E63"/>
    <w:rsid w:val="00637341"/>
    <w:rsid w:val="00637701"/>
    <w:rsid w:val="00637C5F"/>
    <w:rsid w:val="00640230"/>
    <w:rsid w:val="00640825"/>
    <w:rsid w:val="00640B75"/>
    <w:rsid w:val="006410E2"/>
    <w:rsid w:val="0064132E"/>
    <w:rsid w:val="00641876"/>
    <w:rsid w:val="00641BBC"/>
    <w:rsid w:val="00641BE7"/>
    <w:rsid w:val="00642756"/>
    <w:rsid w:val="00642DB1"/>
    <w:rsid w:val="0064381E"/>
    <w:rsid w:val="00644C2E"/>
    <w:rsid w:val="00645290"/>
    <w:rsid w:val="0064549A"/>
    <w:rsid w:val="00645866"/>
    <w:rsid w:val="00645C82"/>
    <w:rsid w:val="00647179"/>
    <w:rsid w:val="006477D5"/>
    <w:rsid w:val="00647DB1"/>
    <w:rsid w:val="00650870"/>
    <w:rsid w:val="00650900"/>
    <w:rsid w:val="00650F36"/>
    <w:rsid w:val="00651E81"/>
    <w:rsid w:val="00652129"/>
    <w:rsid w:val="00652376"/>
    <w:rsid w:val="00652B0D"/>
    <w:rsid w:val="00653DFE"/>
    <w:rsid w:val="00653F02"/>
    <w:rsid w:val="00654279"/>
    <w:rsid w:val="00654481"/>
    <w:rsid w:val="00655055"/>
    <w:rsid w:val="0065507E"/>
    <w:rsid w:val="00655178"/>
    <w:rsid w:val="00655A3B"/>
    <w:rsid w:val="0065645D"/>
    <w:rsid w:val="00656546"/>
    <w:rsid w:val="006570AF"/>
    <w:rsid w:val="0065743F"/>
    <w:rsid w:val="00657648"/>
    <w:rsid w:val="00657C11"/>
    <w:rsid w:val="00657C71"/>
    <w:rsid w:val="006615E1"/>
    <w:rsid w:val="0066166B"/>
    <w:rsid w:val="0066170C"/>
    <w:rsid w:val="006622D7"/>
    <w:rsid w:val="006623AD"/>
    <w:rsid w:val="00662462"/>
    <w:rsid w:val="00662D50"/>
    <w:rsid w:val="00663325"/>
    <w:rsid w:val="00663BFC"/>
    <w:rsid w:val="006640A2"/>
    <w:rsid w:val="006648C4"/>
    <w:rsid w:val="00665418"/>
    <w:rsid w:val="00665B06"/>
    <w:rsid w:val="006668E5"/>
    <w:rsid w:val="00667AE6"/>
    <w:rsid w:val="00667B00"/>
    <w:rsid w:val="00667D04"/>
    <w:rsid w:val="00667EDE"/>
    <w:rsid w:val="00670CF8"/>
    <w:rsid w:val="006710FB"/>
    <w:rsid w:val="006714AE"/>
    <w:rsid w:val="00671C41"/>
    <w:rsid w:val="00672593"/>
    <w:rsid w:val="006730DE"/>
    <w:rsid w:val="006731C0"/>
    <w:rsid w:val="00674406"/>
    <w:rsid w:val="0067579E"/>
    <w:rsid w:val="00675813"/>
    <w:rsid w:val="0067586E"/>
    <w:rsid w:val="00675933"/>
    <w:rsid w:val="0067614A"/>
    <w:rsid w:val="00676812"/>
    <w:rsid w:val="00676A40"/>
    <w:rsid w:val="0067702C"/>
    <w:rsid w:val="00681450"/>
    <w:rsid w:val="00681A6F"/>
    <w:rsid w:val="00681F86"/>
    <w:rsid w:val="006821C4"/>
    <w:rsid w:val="00682881"/>
    <w:rsid w:val="00682AB3"/>
    <w:rsid w:val="00682BF4"/>
    <w:rsid w:val="00682F66"/>
    <w:rsid w:val="006832D5"/>
    <w:rsid w:val="00683602"/>
    <w:rsid w:val="00684AC9"/>
    <w:rsid w:val="00684C26"/>
    <w:rsid w:val="00684CE4"/>
    <w:rsid w:val="00685727"/>
    <w:rsid w:val="00685BAE"/>
    <w:rsid w:val="00686348"/>
    <w:rsid w:val="006874BD"/>
    <w:rsid w:val="00690691"/>
    <w:rsid w:val="00690A9E"/>
    <w:rsid w:val="00690B8F"/>
    <w:rsid w:val="006919C9"/>
    <w:rsid w:val="00692FE6"/>
    <w:rsid w:val="00693234"/>
    <w:rsid w:val="006937B9"/>
    <w:rsid w:val="00693B2A"/>
    <w:rsid w:val="00694974"/>
    <w:rsid w:val="0069499F"/>
    <w:rsid w:val="00694B4F"/>
    <w:rsid w:val="00694C59"/>
    <w:rsid w:val="00695089"/>
    <w:rsid w:val="0069596C"/>
    <w:rsid w:val="00695B4B"/>
    <w:rsid w:val="006963AA"/>
    <w:rsid w:val="006969B0"/>
    <w:rsid w:val="0069794E"/>
    <w:rsid w:val="006A04E0"/>
    <w:rsid w:val="006A0F24"/>
    <w:rsid w:val="006A1184"/>
    <w:rsid w:val="006A217E"/>
    <w:rsid w:val="006A2875"/>
    <w:rsid w:val="006A37E7"/>
    <w:rsid w:val="006A48E0"/>
    <w:rsid w:val="006A5341"/>
    <w:rsid w:val="006A57E3"/>
    <w:rsid w:val="006A5B65"/>
    <w:rsid w:val="006A5D4C"/>
    <w:rsid w:val="006A631B"/>
    <w:rsid w:val="006A7CBA"/>
    <w:rsid w:val="006B015B"/>
    <w:rsid w:val="006B1DC9"/>
    <w:rsid w:val="006B225B"/>
    <w:rsid w:val="006B3474"/>
    <w:rsid w:val="006B4343"/>
    <w:rsid w:val="006B4354"/>
    <w:rsid w:val="006B50C1"/>
    <w:rsid w:val="006B5ECE"/>
    <w:rsid w:val="006B6393"/>
    <w:rsid w:val="006B655A"/>
    <w:rsid w:val="006B65CE"/>
    <w:rsid w:val="006B6843"/>
    <w:rsid w:val="006B6AAE"/>
    <w:rsid w:val="006B70B1"/>
    <w:rsid w:val="006B73ED"/>
    <w:rsid w:val="006B7825"/>
    <w:rsid w:val="006B784F"/>
    <w:rsid w:val="006C0E3E"/>
    <w:rsid w:val="006C162F"/>
    <w:rsid w:val="006C1AC0"/>
    <w:rsid w:val="006C200C"/>
    <w:rsid w:val="006C2AE2"/>
    <w:rsid w:val="006C3A5B"/>
    <w:rsid w:val="006C5A8F"/>
    <w:rsid w:val="006C5BE1"/>
    <w:rsid w:val="006C62C0"/>
    <w:rsid w:val="006C6356"/>
    <w:rsid w:val="006C6F69"/>
    <w:rsid w:val="006C798A"/>
    <w:rsid w:val="006C7ED8"/>
    <w:rsid w:val="006D087B"/>
    <w:rsid w:val="006D0BF4"/>
    <w:rsid w:val="006D20E5"/>
    <w:rsid w:val="006D21D3"/>
    <w:rsid w:val="006D2857"/>
    <w:rsid w:val="006D2949"/>
    <w:rsid w:val="006D3216"/>
    <w:rsid w:val="006D35FF"/>
    <w:rsid w:val="006D36C7"/>
    <w:rsid w:val="006D4069"/>
    <w:rsid w:val="006D468D"/>
    <w:rsid w:val="006D488E"/>
    <w:rsid w:val="006D4FE5"/>
    <w:rsid w:val="006D5063"/>
    <w:rsid w:val="006D54F3"/>
    <w:rsid w:val="006D58B3"/>
    <w:rsid w:val="006D5987"/>
    <w:rsid w:val="006D6657"/>
    <w:rsid w:val="006D669A"/>
    <w:rsid w:val="006D6B81"/>
    <w:rsid w:val="006D6BAB"/>
    <w:rsid w:val="006D7035"/>
    <w:rsid w:val="006D7EE9"/>
    <w:rsid w:val="006E179F"/>
    <w:rsid w:val="006E1E70"/>
    <w:rsid w:val="006E200C"/>
    <w:rsid w:val="006E2204"/>
    <w:rsid w:val="006E2B05"/>
    <w:rsid w:val="006E2B43"/>
    <w:rsid w:val="006E2D56"/>
    <w:rsid w:val="006E2D57"/>
    <w:rsid w:val="006E4479"/>
    <w:rsid w:val="006E513F"/>
    <w:rsid w:val="006E5870"/>
    <w:rsid w:val="006E5BB2"/>
    <w:rsid w:val="006E67E0"/>
    <w:rsid w:val="006E6BD0"/>
    <w:rsid w:val="006F0918"/>
    <w:rsid w:val="006F1266"/>
    <w:rsid w:val="006F2462"/>
    <w:rsid w:val="006F2ABA"/>
    <w:rsid w:val="006F2ECE"/>
    <w:rsid w:val="006F3100"/>
    <w:rsid w:val="006F33CB"/>
    <w:rsid w:val="006F3D7D"/>
    <w:rsid w:val="006F3D92"/>
    <w:rsid w:val="006F3F94"/>
    <w:rsid w:val="006F42DD"/>
    <w:rsid w:val="006F5E8B"/>
    <w:rsid w:val="006F6E96"/>
    <w:rsid w:val="006F6FB7"/>
    <w:rsid w:val="006F6FB8"/>
    <w:rsid w:val="006F787C"/>
    <w:rsid w:val="0070086A"/>
    <w:rsid w:val="007008EA"/>
    <w:rsid w:val="00702475"/>
    <w:rsid w:val="00702759"/>
    <w:rsid w:val="00702AF6"/>
    <w:rsid w:val="00702FA4"/>
    <w:rsid w:val="00702FCA"/>
    <w:rsid w:val="007039D1"/>
    <w:rsid w:val="00703C4B"/>
    <w:rsid w:val="00703C91"/>
    <w:rsid w:val="00703EE3"/>
    <w:rsid w:val="0070437E"/>
    <w:rsid w:val="0070512A"/>
    <w:rsid w:val="00707909"/>
    <w:rsid w:val="00710453"/>
    <w:rsid w:val="007109A2"/>
    <w:rsid w:val="00711AC5"/>
    <w:rsid w:val="00711E17"/>
    <w:rsid w:val="007125F6"/>
    <w:rsid w:val="00714240"/>
    <w:rsid w:val="00715568"/>
    <w:rsid w:val="00716EC4"/>
    <w:rsid w:val="007179FE"/>
    <w:rsid w:val="00720992"/>
    <w:rsid w:val="007215DE"/>
    <w:rsid w:val="00722504"/>
    <w:rsid w:val="00722B25"/>
    <w:rsid w:val="00722BDD"/>
    <w:rsid w:val="00722CD7"/>
    <w:rsid w:val="0072443C"/>
    <w:rsid w:val="007244DE"/>
    <w:rsid w:val="00725473"/>
    <w:rsid w:val="007314C2"/>
    <w:rsid w:val="00731836"/>
    <w:rsid w:val="007327A9"/>
    <w:rsid w:val="007328E7"/>
    <w:rsid w:val="00733559"/>
    <w:rsid w:val="00733A91"/>
    <w:rsid w:val="00733E57"/>
    <w:rsid w:val="0073412B"/>
    <w:rsid w:val="00734365"/>
    <w:rsid w:val="00734930"/>
    <w:rsid w:val="00734AE0"/>
    <w:rsid w:val="007354EF"/>
    <w:rsid w:val="00735A33"/>
    <w:rsid w:val="00735F36"/>
    <w:rsid w:val="0073733D"/>
    <w:rsid w:val="007379BD"/>
    <w:rsid w:val="00737A05"/>
    <w:rsid w:val="007409FF"/>
    <w:rsid w:val="00740EB1"/>
    <w:rsid w:val="0074156A"/>
    <w:rsid w:val="00742C86"/>
    <w:rsid w:val="00743709"/>
    <w:rsid w:val="00743865"/>
    <w:rsid w:val="0074457E"/>
    <w:rsid w:val="00745090"/>
    <w:rsid w:val="00745359"/>
    <w:rsid w:val="00745C75"/>
    <w:rsid w:val="00745EA4"/>
    <w:rsid w:val="0074648B"/>
    <w:rsid w:val="0074659D"/>
    <w:rsid w:val="007472C1"/>
    <w:rsid w:val="007516CC"/>
    <w:rsid w:val="00751FE6"/>
    <w:rsid w:val="00752582"/>
    <w:rsid w:val="00752D76"/>
    <w:rsid w:val="00753104"/>
    <w:rsid w:val="007532A5"/>
    <w:rsid w:val="00754EF4"/>
    <w:rsid w:val="00755B4B"/>
    <w:rsid w:val="00757560"/>
    <w:rsid w:val="007575AD"/>
    <w:rsid w:val="00757685"/>
    <w:rsid w:val="00760CA9"/>
    <w:rsid w:val="007618DA"/>
    <w:rsid w:val="00762270"/>
    <w:rsid w:val="00762451"/>
    <w:rsid w:val="0076323E"/>
    <w:rsid w:val="007641C4"/>
    <w:rsid w:val="00764898"/>
    <w:rsid w:val="007648C0"/>
    <w:rsid w:val="007650B0"/>
    <w:rsid w:val="007656B7"/>
    <w:rsid w:val="00765899"/>
    <w:rsid w:val="00766B8E"/>
    <w:rsid w:val="007672E2"/>
    <w:rsid w:val="0076738F"/>
    <w:rsid w:val="007678D9"/>
    <w:rsid w:val="0076791E"/>
    <w:rsid w:val="00767E23"/>
    <w:rsid w:val="00770090"/>
    <w:rsid w:val="00770447"/>
    <w:rsid w:val="007705AE"/>
    <w:rsid w:val="00771568"/>
    <w:rsid w:val="00771AC2"/>
    <w:rsid w:val="00772BB1"/>
    <w:rsid w:val="00773166"/>
    <w:rsid w:val="007742B5"/>
    <w:rsid w:val="007742FC"/>
    <w:rsid w:val="00775862"/>
    <w:rsid w:val="00775905"/>
    <w:rsid w:val="0077635B"/>
    <w:rsid w:val="00776AB3"/>
    <w:rsid w:val="00777268"/>
    <w:rsid w:val="00777F9A"/>
    <w:rsid w:val="007802E5"/>
    <w:rsid w:val="0078124C"/>
    <w:rsid w:val="0078166A"/>
    <w:rsid w:val="00781709"/>
    <w:rsid w:val="00781EE7"/>
    <w:rsid w:val="00781F30"/>
    <w:rsid w:val="00781FBF"/>
    <w:rsid w:val="0078245B"/>
    <w:rsid w:val="00782E9D"/>
    <w:rsid w:val="00783416"/>
    <w:rsid w:val="007839C4"/>
    <w:rsid w:val="00783E2B"/>
    <w:rsid w:val="00784267"/>
    <w:rsid w:val="00784788"/>
    <w:rsid w:val="00785354"/>
    <w:rsid w:val="00785648"/>
    <w:rsid w:val="00785844"/>
    <w:rsid w:val="0078586C"/>
    <w:rsid w:val="00785CFC"/>
    <w:rsid w:val="00785D3E"/>
    <w:rsid w:val="0078675C"/>
    <w:rsid w:val="00786C95"/>
    <w:rsid w:val="00787BBB"/>
    <w:rsid w:val="0079031E"/>
    <w:rsid w:val="00790816"/>
    <w:rsid w:val="00790E7A"/>
    <w:rsid w:val="00791139"/>
    <w:rsid w:val="00791884"/>
    <w:rsid w:val="00791FE5"/>
    <w:rsid w:val="00792A6C"/>
    <w:rsid w:val="00792B86"/>
    <w:rsid w:val="00792C00"/>
    <w:rsid w:val="00792C72"/>
    <w:rsid w:val="00794284"/>
    <w:rsid w:val="00794696"/>
    <w:rsid w:val="00794747"/>
    <w:rsid w:val="007953BF"/>
    <w:rsid w:val="00795A1B"/>
    <w:rsid w:val="00796416"/>
    <w:rsid w:val="0079689A"/>
    <w:rsid w:val="00796C0B"/>
    <w:rsid w:val="00796DFE"/>
    <w:rsid w:val="007971A9"/>
    <w:rsid w:val="00797F4D"/>
    <w:rsid w:val="007A0588"/>
    <w:rsid w:val="007A0BCF"/>
    <w:rsid w:val="007A0EAE"/>
    <w:rsid w:val="007A1728"/>
    <w:rsid w:val="007A1956"/>
    <w:rsid w:val="007A1B59"/>
    <w:rsid w:val="007A1E21"/>
    <w:rsid w:val="007A281F"/>
    <w:rsid w:val="007A2BE1"/>
    <w:rsid w:val="007A308B"/>
    <w:rsid w:val="007A388C"/>
    <w:rsid w:val="007A3921"/>
    <w:rsid w:val="007A45CF"/>
    <w:rsid w:val="007A48F0"/>
    <w:rsid w:val="007A4C19"/>
    <w:rsid w:val="007A4EA1"/>
    <w:rsid w:val="007A5774"/>
    <w:rsid w:val="007A6031"/>
    <w:rsid w:val="007A71EE"/>
    <w:rsid w:val="007A7AC2"/>
    <w:rsid w:val="007A7C7C"/>
    <w:rsid w:val="007B012D"/>
    <w:rsid w:val="007B1401"/>
    <w:rsid w:val="007B24CA"/>
    <w:rsid w:val="007B2C39"/>
    <w:rsid w:val="007B2EE8"/>
    <w:rsid w:val="007B45D8"/>
    <w:rsid w:val="007B6014"/>
    <w:rsid w:val="007C03DD"/>
    <w:rsid w:val="007C0E27"/>
    <w:rsid w:val="007C0E80"/>
    <w:rsid w:val="007C1E19"/>
    <w:rsid w:val="007C2935"/>
    <w:rsid w:val="007C3100"/>
    <w:rsid w:val="007C450B"/>
    <w:rsid w:val="007C4C7E"/>
    <w:rsid w:val="007C57FE"/>
    <w:rsid w:val="007C5C84"/>
    <w:rsid w:val="007C5FFB"/>
    <w:rsid w:val="007C68CB"/>
    <w:rsid w:val="007C787E"/>
    <w:rsid w:val="007D0812"/>
    <w:rsid w:val="007D098F"/>
    <w:rsid w:val="007D1000"/>
    <w:rsid w:val="007D113D"/>
    <w:rsid w:val="007D129A"/>
    <w:rsid w:val="007D1480"/>
    <w:rsid w:val="007D1690"/>
    <w:rsid w:val="007D20E8"/>
    <w:rsid w:val="007D26E8"/>
    <w:rsid w:val="007D2BF2"/>
    <w:rsid w:val="007D2D78"/>
    <w:rsid w:val="007D2F9F"/>
    <w:rsid w:val="007D3216"/>
    <w:rsid w:val="007D5953"/>
    <w:rsid w:val="007D5D33"/>
    <w:rsid w:val="007D6396"/>
    <w:rsid w:val="007D6FDB"/>
    <w:rsid w:val="007D7C8A"/>
    <w:rsid w:val="007E13C1"/>
    <w:rsid w:val="007E1DDC"/>
    <w:rsid w:val="007E29E7"/>
    <w:rsid w:val="007E40F0"/>
    <w:rsid w:val="007E4548"/>
    <w:rsid w:val="007E57AB"/>
    <w:rsid w:val="007E6690"/>
    <w:rsid w:val="007E6721"/>
    <w:rsid w:val="007E7098"/>
    <w:rsid w:val="007E747E"/>
    <w:rsid w:val="007F0D08"/>
    <w:rsid w:val="007F1DE7"/>
    <w:rsid w:val="007F227F"/>
    <w:rsid w:val="007F3334"/>
    <w:rsid w:val="007F3421"/>
    <w:rsid w:val="007F3C59"/>
    <w:rsid w:val="007F3DF5"/>
    <w:rsid w:val="007F3F33"/>
    <w:rsid w:val="007F4A04"/>
    <w:rsid w:val="007F4AD0"/>
    <w:rsid w:val="007F4B6C"/>
    <w:rsid w:val="007F5596"/>
    <w:rsid w:val="007F5654"/>
    <w:rsid w:val="007F60A5"/>
    <w:rsid w:val="007F6136"/>
    <w:rsid w:val="007F65D9"/>
    <w:rsid w:val="007F6A40"/>
    <w:rsid w:val="007F71DD"/>
    <w:rsid w:val="007F77AC"/>
    <w:rsid w:val="007F781F"/>
    <w:rsid w:val="008006F4"/>
    <w:rsid w:val="00801721"/>
    <w:rsid w:val="008018AF"/>
    <w:rsid w:val="008019E0"/>
    <w:rsid w:val="00801A38"/>
    <w:rsid w:val="00801D2C"/>
    <w:rsid w:val="00802C91"/>
    <w:rsid w:val="00802DED"/>
    <w:rsid w:val="00802E2F"/>
    <w:rsid w:val="0080338D"/>
    <w:rsid w:val="00803C52"/>
    <w:rsid w:val="008058DB"/>
    <w:rsid w:val="00806D6B"/>
    <w:rsid w:val="00810228"/>
    <w:rsid w:val="008104FC"/>
    <w:rsid w:val="0081087E"/>
    <w:rsid w:val="008115DD"/>
    <w:rsid w:val="00811847"/>
    <w:rsid w:val="00811F48"/>
    <w:rsid w:val="00812983"/>
    <w:rsid w:val="00813656"/>
    <w:rsid w:val="0081390C"/>
    <w:rsid w:val="00814481"/>
    <w:rsid w:val="0081497E"/>
    <w:rsid w:val="00814EBA"/>
    <w:rsid w:val="0081569D"/>
    <w:rsid w:val="0081575A"/>
    <w:rsid w:val="0081594F"/>
    <w:rsid w:val="00815B6C"/>
    <w:rsid w:val="00815F3E"/>
    <w:rsid w:val="00816119"/>
    <w:rsid w:val="00816464"/>
    <w:rsid w:val="008165D8"/>
    <w:rsid w:val="00816831"/>
    <w:rsid w:val="00816AB1"/>
    <w:rsid w:val="00816E9C"/>
    <w:rsid w:val="008172AB"/>
    <w:rsid w:val="00817410"/>
    <w:rsid w:val="0082152F"/>
    <w:rsid w:val="00821B2A"/>
    <w:rsid w:val="00822D62"/>
    <w:rsid w:val="00822F50"/>
    <w:rsid w:val="008241A3"/>
    <w:rsid w:val="008249FD"/>
    <w:rsid w:val="00824F11"/>
    <w:rsid w:val="008251B6"/>
    <w:rsid w:val="008253C3"/>
    <w:rsid w:val="00826B3B"/>
    <w:rsid w:val="008271A2"/>
    <w:rsid w:val="00827432"/>
    <w:rsid w:val="008277C0"/>
    <w:rsid w:val="00827A20"/>
    <w:rsid w:val="0083012D"/>
    <w:rsid w:val="00830743"/>
    <w:rsid w:val="00831FD5"/>
    <w:rsid w:val="0083288B"/>
    <w:rsid w:val="008329B4"/>
    <w:rsid w:val="008342B1"/>
    <w:rsid w:val="00834B25"/>
    <w:rsid w:val="00834FDA"/>
    <w:rsid w:val="0083603A"/>
    <w:rsid w:val="00837570"/>
    <w:rsid w:val="00837BE7"/>
    <w:rsid w:val="00837D67"/>
    <w:rsid w:val="008401D1"/>
    <w:rsid w:val="008411D8"/>
    <w:rsid w:val="00841C96"/>
    <w:rsid w:val="00841CDC"/>
    <w:rsid w:val="00842542"/>
    <w:rsid w:val="008436B6"/>
    <w:rsid w:val="0084573E"/>
    <w:rsid w:val="0084677A"/>
    <w:rsid w:val="008468E0"/>
    <w:rsid w:val="008472E9"/>
    <w:rsid w:val="0085090A"/>
    <w:rsid w:val="008512E9"/>
    <w:rsid w:val="00851D5E"/>
    <w:rsid w:val="00851DCE"/>
    <w:rsid w:val="00852663"/>
    <w:rsid w:val="0085291A"/>
    <w:rsid w:val="008533AE"/>
    <w:rsid w:val="00853536"/>
    <w:rsid w:val="008536EF"/>
    <w:rsid w:val="00853D3F"/>
    <w:rsid w:val="00854292"/>
    <w:rsid w:val="008547D7"/>
    <w:rsid w:val="00854F55"/>
    <w:rsid w:val="008560A1"/>
    <w:rsid w:val="008560A3"/>
    <w:rsid w:val="00856676"/>
    <w:rsid w:val="008567A1"/>
    <w:rsid w:val="0085784A"/>
    <w:rsid w:val="0086012A"/>
    <w:rsid w:val="0086097A"/>
    <w:rsid w:val="00861010"/>
    <w:rsid w:val="00861207"/>
    <w:rsid w:val="00861D82"/>
    <w:rsid w:val="00862748"/>
    <w:rsid w:val="00862957"/>
    <w:rsid w:val="00862E97"/>
    <w:rsid w:val="00862EF7"/>
    <w:rsid w:val="00863084"/>
    <w:rsid w:val="00864ED3"/>
    <w:rsid w:val="0086558E"/>
    <w:rsid w:val="0086579F"/>
    <w:rsid w:val="00866164"/>
    <w:rsid w:val="008662FD"/>
    <w:rsid w:val="00866884"/>
    <w:rsid w:val="0086688F"/>
    <w:rsid w:val="00866EF5"/>
    <w:rsid w:val="00867572"/>
    <w:rsid w:val="008677BA"/>
    <w:rsid w:val="00870EDE"/>
    <w:rsid w:val="0087100A"/>
    <w:rsid w:val="0087167F"/>
    <w:rsid w:val="00873F9E"/>
    <w:rsid w:val="00874480"/>
    <w:rsid w:val="0087472D"/>
    <w:rsid w:val="008747E8"/>
    <w:rsid w:val="00874D4D"/>
    <w:rsid w:val="00876689"/>
    <w:rsid w:val="008769E6"/>
    <w:rsid w:val="008775D3"/>
    <w:rsid w:val="0088031E"/>
    <w:rsid w:val="008808ED"/>
    <w:rsid w:val="008809A8"/>
    <w:rsid w:val="008818FA"/>
    <w:rsid w:val="00881C7B"/>
    <w:rsid w:val="00881F84"/>
    <w:rsid w:val="008822CC"/>
    <w:rsid w:val="00882BA8"/>
    <w:rsid w:val="00883384"/>
    <w:rsid w:val="00883942"/>
    <w:rsid w:val="00883ACA"/>
    <w:rsid w:val="008844D2"/>
    <w:rsid w:val="00884A7C"/>
    <w:rsid w:val="00884CAA"/>
    <w:rsid w:val="00885072"/>
    <w:rsid w:val="008850C8"/>
    <w:rsid w:val="0088527A"/>
    <w:rsid w:val="00885FBC"/>
    <w:rsid w:val="00886376"/>
    <w:rsid w:val="008879C5"/>
    <w:rsid w:val="00890716"/>
    <w:rsid w:val="00890E5E"/>
    <w:rsid w:val="00891898"/>
    <w:rsid w:val="00893287"/>
    <w:rsid w:val="00893645"/>
    <w:rsid w:val="00893730"/>
    <w:rsid w:val="00893F03"/>
    <w:rsid w:val="008944F1"/>
    <w:rsid w:val="00894DEF"/>
    <w:rsid w:val="00895AE6"/>
    <w:rsid w:val="0089643F"/>
    <w:rsid w:val="0089691D"/>
    <w:rsid w:val="00897AB5"/>
    <w:rsid w:val="00897BFF"/>
    <w:rsid w:val="008A0243"/>
    <w:rsid w:val="008A0305"/>
    <w:rsid w:val="008A068F"/>
    <w:rsid w:val="008A0BB6"/>
    <w:rsid w:val="008A0EB1"/>
    <w:rsid w:val="008A1382"/>
    <w:rsid w:val="008A1725"/>
    <w:rsid w:val="008A201A"/>
    <w:rsid w:val="008A21B9"/>
    <w:rsid w:val="008A238F"/>
    <w:rsid w:val="008A2A83"/>
    <w:rsid w:val="008A3856"/>
    <w:rsid w:val="008A42E1"/>
    <w:rsid w:val="008A48FE"/>
    <w:rsid w:val="008A65BC"/>
    <w:rsid w:val="008A6949"/>
    <w:rsid w:val="008A6F45"/>
    <w:rsid w:val="008A6F93"/>
    <w:rsid w:val="008A78F1"/>
    <w:rsid w:val="008A7ED0"/>
    <w:rsid w:val="008B01A0"/>
    <w:rsid w:val="008B145F"/>
    <w:rsid w:val="008B1D46"/>
    <w:rsid w:val="008B3B7C"/>
    <w:rsid w:val="008B4F29"/>
    <w:rsid w:val="008B4F6B"/>
    <w:rsid w:val="008B5401"/>
    <w:rsid w:val="008B5496"/>
    <w:rsid w:val="008B6653"/>
    <w:rsid w:val="008B6942"/>
    <w:rsid w:val="008B69AB"/>
    <w:rsid w:val="008B6C3B"/>
    <w:rsid w:val="008B6F4F"/>
    <w:rsid w:val="008C001A"/>
    <w:rsid w:val="008C06FE"/>
    <w:rsid w:val="008C0D1A"/>
    <w:rsid w:val="008C107A"/>
    <w:rsid w:val="008C1F1E"/>
    <w:rsid w:val="008C25CE"/>
    <w:rsid w:val="008C27A9"/>
    <w:rsid w:val="008C2A3E"/>
    <w:rsid w:val="008C3383"/>
    <w:rsid w:val="008C3C81"/>
    <w:rsid w:val="008C4088"/>
    <w:rsid w:val="008C499F"/>
    <w:rsid w:val="008C4D24"/>
    <w:rsid w:val="008C5048"/>
    <w:rsid w:val="008C7441"/>
    <w:rsid w:val="008C7538"/>
    <w:rsid w:val="008C7EE9"/>
    <w:rsid w:val="008D0D48"/>
    <w:rsid w:val="008D146A"/>
    <w:rsid w:val="008D1823"/>
    <w:rsid w:val="008D1F37"/>
    <w:rsid w:val="008D2432"/>
    <w:rsid w:val="008D2DB7"/>
    <w:rsid w:val="008D44FB"/>
    <w:rsid w:val="008D4F5A"/>
    <w:rsid w:val="008D50A9"/>
    <w:rsid w:val="008D56CD"/>
    <w:rsid w:val="008D5992"/>
    <w:rsid w:val="008D5DBA"/>
    <w:rsid w:val="008D660D"/>
    <w:rsid w:val="008D6C0D"/>
    <w:rsid w:val="008D72F2"/>
    <w:rsid w:val="008E0771"/>
    <w:rsid w:val="008E1759"/>
    <w:rsid w:val="008E27E2"/>
    <w:rsid w:val="008E2B4A"/>
    <w:rsid w:val="008E2BF0"/>
    <w:rsid w:val="008E3021"/>
    <w:rsid w:val="008E49A7"/>
    <w:rsid w:val="008E4DCF"/>
    <w:rsid w:val="008E5A26"/>
    <w:rsid w:val="008E5C00"/>
    <w:rsid w:val="008E5CEE"/>
    <w:rsid w:val="008E6244"/>
    <w:rsid w:val="008E624F"/>
    <w:rsid w:val="008E7913"/>
    <w:rsid w:val="008F0684"/>
    <w:rsid w:val="008F10EF"/>
    <w:rsid w:val="008F170E"/>
    <w:rsid w:val="008F1D8F"/>
    <w:rsid w:val="008F3368"/>
    <w:rsid w:val="008F3E78"/>
    <w:rsid w:val="008F4226"/>
    <w:rsid w:val="008F5579"/>
    <w:rsid w:val="008F5B7E"/>
    <w:rsid w:val="008F5E61"/>
    <w:rsid w:val="008F6C15"/>
    <w:rsid w:val="008F6D9D"/>
    <w:rsid w:val="008F734A"/>
    <w:rsid w:val="008F76A4"/>
    <w:rsid w:val="008F7EB2"/>
    <w:rsid w:val="009009F9"/>
    <w:rsid w:val="009017BF"/>
    <w:rsid w:val="009018FD"/>
    <w:rsid w:val="0090242B"/>
    <w:rsid w:val="00903C41"/>
    <w:rsid w:val="00903EF0"/>
    <w:rsid w:val="0090482E"/>
    <w:rsid w:val="00904A60"/>
    <w:rsid w:val="00904FF4"/>
    <w:rsid w:val="00905099"/>
    <w:rsid w:val="00905695"/>
    <w:rsid w:val="00905842"/>
    <w:rsid w:val="00905F50"/>
    <w:rsid w:val="00906645"/>
    <w:rsid w:val="00907430"/>
    <w:rsid w:val="00907DC1"/>
    <w:rsid w:val="0091001E"/>
    <w:rsid w:val="00910A7C"/>
    <w:rsid w:val="00910F0E"/>
    <w:rsid w:val="00910FF3"/>
    <w:rsid w:val="00911861"/>
    <w:rsid w:val="0091291D"/>
    <w:rsid w:val="00912D02"/>
    <w:rsid w:val="009133B5"/>
    <w:rsid w:val="00914B5F"/>
    <w:rsid w:val="00915642"/>
    <w:rsid w:val="00915835"/>
    <w:rsid w:val="00916069"/>
    <w:rsid w:val="0091608A"/>
    <w:rsid w:val="009162AC"/>
    <w:rsid w:val="00916C3C"/>
    <w:rsid w:val="00917554"/>
    <w:rsid w:val="009206C4"/>
    <w:rsid w:val="00921330"/>
    <w:rsid w:val="009216B1"/>
    <w:rsid w:val="0092293A"/>
    <w:rsid w:val="009240B7"/>
    <w:rsid w:val="00924122"/>
    <w:rsid w:val="009249D3"/>
    <w:rsid w:val="00924E0C"/>
    <w:rsid w:val="00925DCD"/>
    <w:rsid w:val="00926103"/>
    <w:rsid w:val="00926186"/>
    <w:rsid w:val="00926719"/>
    <w:rsid w:val="009270F5"/>
    <w:rsid w:val="009272D1"/>
    <w:rsid w:val="009274CB"/>
    <w:rsid w:val="0092793F"/>
    <w:rsid w:val="00931B68"/>
    <w:rsid w:val="00931F2F"/>
    <w:rsid w:val="00932495"/>
    <w:rsid w:val="009331E0"/>
    <w:rsid w:val="0093325E"/>
    <w:rsid w:val="009346D6"/>
    <w:rsid w:val="00934CD5"/>
    <w:rsid w:val="009355A1"/>
    <w:rsid w:val="00935B69"/>
    <w:rsid w:val="00936373"/>
    <w:rsid w:val="0093656C"/>
    <w:rsid w:val="00937347"/>
    <w:rsid w:val="009373A5"/>
    <w:rsid w:val="00937870"/>
    <w:rsid w:val="0093794A"/>
    <w:rsid w:val="009409E6"/>
    <w:rsid w:val="00940D0A"/>
    <w:rsid w:val="00940FC4"/>
    <w:rsid w:val="00941A42"/>
    <w:rsid w:val="00945892"/>
    <w:rsid w:val="009462AF"/>
    <w:rsid w:val="00946F48"/>
    <w:rsid w:val="00947A46"/>
    <w:rsid w:val="009507DC"/>
    <w:rsid w:val="0095168B"/>
    <w:rsid w:val="00952531"/>
    <w:rsid w:val="00953478"/>
    <w:rsid w:val="009538D4"/>
    <w:rsid w:val="00953BEF"/>
    <w:rsid w:val="00953FD9"/>
    <w:rsid w:val="00954D1B"/>
    <w:rsid w:val="009550C4"/>
    <w:rsid w:val="00955346"/>
    <w:rsid w:val="00955CF4"/>
    <w:rsid w:val="00956071"/>
    <w:rsid w:val="009561B5"/>
    <w:rsid w:val="00957BF7"/>
    <w:rsid w:val="00960CC7"/>
    <w:rsid w:val="00961916"/>
    <w:rsid w:val="00961AE5"/>
    <w:rsid w:val="009625CC"/>
    <w:rsid w:val="0096273A"/>
    <w:rsid w:val="00963CF2"/>
    <w:rsid w:val="00964AE4"/>
    <w:rsid w:val="009650FE"/>
    <w:rsid w:val="00965DF5"/>
    <w:rsid w:val="00966707"/>
    <w:rsid w:val="00966811"/>
    <w:rsid w:val="00966D7A"/>
    <w:rsid w:val="00967398"/>
    <w:rsid w:val="009677DB"/>
    <w:rsid w:val="009703B7"/>
    <w:rsid w:val="00970854"/>
    <w:rsid w:val="00970DA6"/>
    <w:rsid w:val="00970FB6"/>
    <w:rsid w:val="0097122C"/>
    <w:rsid w:val="0097154A"/>
    <w:rsid w:val="0097294F"/>
    <w:rsid w:val="00972C72"/>
    <w:rsid w:val="00973014"/>
    <w:rsid w:val="00973095"/>
    <w:rsid w:val="0097328E"/>
    <w:rsid w:val="00974165"/>
    <w:rsid w:val="0097429E"/>
    <w:rsid w:val="009745C2"/>
    <w:rsid w:val="00974D16"/>
    <w:rsid w:val="00974DC4"/>
    <w:rsid w:val="009750AE"/>
    <w:rsid w:val="00975148"/>
    <w:rsid w:val="00975377"/>
    <w:rsid w:val="00975D0D"/>
    <w:rsid w:val="009760E4"/>
    <w:rsid w:val="009761A8"/>
    <w:rsid w:val="009762DD"/>
    <w:rsid w:val="009764A4"/>
    <w:rsid w:val="00976F2B"/>
    <w:rsid w:val="00977B55"/>
    <w:rsid w:val="00980CE6"/>
    <w:rsid w:val="00980F1F"/>
    <w:rsid w:val="0098161E"/>
    <w:rsid w:val="00981A23"/>
    <w:rsid w:val="00981AA0"/>
    <w:rsid w:val="00981C39"/>
    <w:rsid w:val="00982358"/>
    <w:rsid w:val="0098265D"/>
    <w:rsid w:val="009826AC"/>
    <w:rsid w:val="00982C07"/>
    <w:rsid w:val="00985F4F"/>
    <w:rsid w:val="009863C0"/>
    <w:rsid w:val="009864B3"/>
    <w:rsid w:val="00986CFE"/>
    <w:rsid w:val="00987AA2"/>
    <w:rsid w:val="00990BBC"/>
    <w:rsid w:val="009919AE"/>
    <w:rsid w:val="00991C4F"/>
    <w:rsid w:val="00991CE6"/>
    <w:rsid w:val="00991CE8"/>
    <w:rsid w:val="00991E67"/>
    <w:rsid w:val="00992538"/>
    <w:rsid w:val="009932D0"/>
    <w:rsid w:val="00993331"/>
    <w:rsid w:val="009936A5"/>
    <w:rsid w:val="00993836"/>
    <w:rsid w:val="00993E94"/>
    <w:rsid w:val="009958B5"/>
    <w:rsid w:val="009967D9"/>
    <w:rsid w:val="00996C9A"/>
    <w:rsid w:val="009970FE"/>
    <w:rsid w:val="00997986"/>
    <w:rsid w:val="00997DE6"/>
    <w:rsid w:val="009A15C2"/>
    <w:rsid w:val="009A1F9F"/>
    <w:rsid w:val="009A2170"/>
    <w:rsid w:val="009A2C38"/>
    <w:rsid w:val="009A2DCF"/>
    <w:rsid w:val="009A4127"/>
    <w:rsid w:val="009A4A34"/>
    <w:rsid w:val="009A4B6F"/>
    <w:rsid w:val="009A587F"/>
    <w:rsid w:val="009A5ADF"/>
    <w:rsid w:val="009A642E"/>
    <w:rsid w:val="009A64EA"/>
    <w:rsid w:val="009A6790"/>
    <w:rsid w:val="009A7A24"/>
    <w:rsid w:val="009A7C1A"/>
    <w:rsid w:val="009B0460"/>
    <w:rsid w:val="009B0864"/>
    <w:rsid w:val="009B0FC6"/>
    <w:rsid w:val="009B1684"/>
    <w:rsid w:val="009B192F"/>
    <w:rsid w:val="009B268B"/>
    <w:rsid w:val="009B2B41"/>
    <w:rsid w:val="009B2E26"/>
    <w:rsid w:val="009B343F"/>
    <w:rsid w:val="009B3DF5"/>
    <w:rsid w:val="009B6A96"/>
    <w:rsid w:val="009B6AB4"/>
    <w:rsid w:val="009B6F53"/>
    <w:rsid w:val="009B77A1"/>
    <w:rsid w:val="009B7C7A"/>
    <w:rsid w:val="009B7C8E"/>
    <w:rsid w:val="009C01CA"/>
    <w:rsid w:val="009C0AB5"/>
    <w:rsid w:val="009C1D70"/>
    <w:rsid w:val="009C1E47"/>
    <w:rsid w:val="009C32EB"/>
    <w:rsid w:val="009C35C4"/>
    <w:rsid w:val="009C3BAA"/>
    <w:rsid w:val="009C4F0E"/>
    <w:rsid w:val="009C5DC5"/>
    <w:rsid w:val="009C5F68"/>
    <w:rsid w:val="009C69C5"/>
    <w:rsid w:val="009C751B"/>
    <w:rsid w:val="009C7810"/>
    <w:rsid w:val="009C7F6D"/>
    <w:rsid w:val="009D1652"/>
    <w:rsid w:val="009D17AE"/>
    <w:rsid w:val="009D20F2"/>
    <w:rsid w:val="009D234C"/>
    <w:rsid w:val="009D2F36"/>
    <w:rsid w:val="009D54E0"/>
    <w:rsid w:val="009D6D6A"/>
    <w:rsid w:val="009D6D7E"/>
    <w:rsid w:val="009D6E67"/>
    <w:rsid w:val="009D707E"/>
    <w:rsid w:val="009D70EF"/>
    <w:rsid w:val="009E04E8"/>
    <w:rsid w:val="009E0642"/>
    <w:rsid w:val="009E1424"/>
    <w:rsid w:val="009E1D5F"/>
    <w:rsid w:val="009E27D2"/>
    <w:rsid w:val="009E2BCD"/>
    <w:rsid w:val="009E2E58"/>
    <w:rsid w:val="009E31DD"/>
    <w:rsid w:val="009E49A3"/>
    <w:rsid w:val="009E4BB6"/>
    <w:rsid w:val="009E4C90"/>
    <w:rsid w:val="009E5201"/>
    <w:rsid w:val="009E5524"/>
    <w:rsid w:val="009E5E31"/>
    <w:rsid w:val="009E5F2C"/>
    <w:rsid w:val="009E71F1"/>
    <w:rsid w:val="009E78A0"/>
    <w:rsid w:val="009E7AB4"/>
    <w:rsid w:val="009F0414"/>
    <w:rsid w:val="009F04DE"/>
    <w:rsid w:val="009F0F73"/>
    <w:rsid w:val="009F112C"/>
    <w:rsid w:val="009F1708"/>
    <w:rsid w:val="009F1771"/>
    <w:rsid w:val="009F203A"/>
    <w:rsid w:val="009F2550"/>
    <w:rsid w:val="009F2D83"/>
    <w:rsid w:val="009F2FF1"/>
    <w:rsid w:val="009F3088"/>
    <w:rsid w:val="009F32EC"/>
    <w:rsid w:val="009F3A3B"/>
    <w:rsid w:val="009F4C4B"/>
    <w:rsid w:val="009F5074"/>
    <w:rsid w:val="009F51C7"/>
    <w:rsid w:val="009F5424"/>
    <w:rsid w:val="009F5601"/>
    <w:rsid w:val="009F56B2"/>
    <w:rsid w:val="009F5994"/>
    <w:rsid w:val="009F5E26"/>
    <w:rsid w:val="009F6EF2"/>
    <w:rsid w:val="00A008B5"/>
    <w:rsid w:val="00A019D6"/>
    <w:rsid w:val="00A01C86"/>
    <w:rsid w:val="00A028CA"/>
    <w:rsid w:val="00A02E85"/>
    <w:rsid w:val="00A02E95"/>
    <w:rsid w:val="00A0365C"/>
    <w:rsid w:val="00A03767"/>
    <w:rsid w:val="00A04688"/>
    <w:rsid w:val="00A057C2"/>
    <w:rsid w:val="00A05A51"/>
    <w:rsid w:val="00A06929"/>
    <w:rsid w:val="00A069EC"/>
    <w:rsid w:val="00A06CD5"/>
    <w:rsid w:val="00A0724C"/>
    <w:rsid w:val="00A0728C"/>
    <w:rsid w:val="00A07CEF"/>
    <w:rsid w:val="00A10632"/>
    <w:rsid w:val="00A106EB"/>
    <w:rsid w:val="00A10A05"/>
    <w:rsid w:val="00A10F78"/>
    <w:rsid w:val="00A117F7"/>
    <w:rsid w:val="00A136D9"/>
    <w:rsid w:val="00A14C4A"/>
    <w:rsid w:val="00A17D9C"/>
    <w:rsid w:val="00A17E68"/>
    <w:rsid w:val="00A201F0"/>
    <w:rsid w:val="00A20639"/>
    <w:rsid w:val="00A20752"/>
    <w:rsid w:val="00A2200D"/>
    <w:rsid w:val="00A2202E"/>
    <w:rsid w:val="00A22369"/>
    <w:rsid w:val="00A2254C"/>
    <w:rsid w:val="00A2317A"/>
    <w:rsid w:val="00A236A3"/>
    <w:rsid w:val="00A23890"/>
    <w:rsid w:val="00A24BFB"/>
    <w:rsid w:val="00A25543"/>
    <w:rsid w:val="00A25753"/>
    <w:rsid w:val="00A257DB"/>
    <w:rsid w:val="00A25B6D"/>
    <w:rsid w:val="00A2637E"/>
    <w:rsid w:val="00A26C64"/>
    <w:rsid w:val="00A26EE3"/>
    <w:rsid w:val="00A278E3"/>
    <w:rsid w:val="00A30150"/>
    <w:rsid w:val="00A30538"/>
    <w:rsid w:val="00A30792"/>
    <w:rsid w:val="00A30A97"/>
    <w:rsid w:val="00A325C5"/>
    <w:rsid w:val="00A3377D"/>
    <w:rsid w:val="00A342A4"/>
    <w:rsid w:val="00A35828"/>
    <w:rsid w:val="00A35A2D"/>
    <w:rsid w:val="00A35FB6"/>
    <w:rsid w:val="00A36163"/>
    <w:rsid w:val="00A3690F"/>
    <w:rsid w:val="00A3702F"/>
    <w:rsid w:val="00A376DF"/>
    <w:rsid w:val="00A37AB9"/>
    <w:rsid w:val="00A37E43"/>
    <w:rsid w:val="00A37FEE"/>
    <w:rsid w:val="00A40609"/>
    <w:rsid w:val="00A40627"/>
    <w:rsid w:val="00A40913"/>
    <w:rsid w:val="00A40AF9"/>
    <w:rsid w:val="00A40C4D"/>
    <w:rsid w:val="00A41B01"/>
    <w:rsid w:val="00A41DE9"/>
    <w:rsid w:val="00A424D1"/>
    <w:rsid w:val="00A42548"/>
    <w:rsid w:val="00A429AB"/>
    <w:rsid w:val="00A42B4C"/>
    <w:rsid w:val="00A43542"/>
    <w:rsid w:val="00A46D64"/>
    <w:rsid w:val="00A4757D"/>
    <w:rsid w:val="00A47ED9"/>
    <w:rsid w:val="00A50D56"/>
    <w:rsid w:val="00A50F43"/>
    <w:rsid w:val="00A51743"/>
    <w:rsid w:val="00A524AF"/>
    <w:rsid w:val="00A5288F"/>
    <w:rsid w:val="00A541BC"/>
    <w:rsid w:val="00A54786"/>
    <w:rsid w:val="00A54981"/>
    <w:rsid w:val="00A55631"/>
    <w:rsid w:val="00A56986"/>
    <w:rsid w:val="00A575F4"/>
    <w:rsid w:val="00A57E2E"/>
    <w:rsid w:val="00A6024E"/>
    <w:rsid w:val="00A611E0"/>
    <w:rsid w:val="00A61B88"/>
    <w:rsid w:val="00A6259B"/>
    <w:rsid w:val="00A62F52"/>
    <w:rsid w:val="00A6357E"/>
    <w:rsid w:val="00A6370F"/>
    <w:rsid w:val="00A6400B"/>
    <w:rsid w:val="00A67DD3"/>
    <w:rsid w:val="00A70631"/>
    <w:rsid w:val="00A7093B"/>
    <w:rsid w:val="00A70D2C"/>
    <w:rsid w:val="00A716AE"/>
    <w:rsid w:val="00A71828"/>
    <w:rsid w:val="00A72CDF"/>
    <w:rsid w:val="00A7329D"/>
    <w:rsid w:val="00A732B0"/>
    <w:rsid w:val="00A735F8"/>
    <w:rsid w:val="00A73C56"/>
    <w:rsid w:val="00A74BC5"/>
    <w:rsid w:val="00A75347"/>
    <w:rsid w:val="00A75C65"/>
    <w:rsid w:val="00A76664"/>
    <w:rsid w:val="00A76EF0"/>
    <w:rsid w:val="00A776C0"/>
    <w:rsid w:val="00A7789B"/>
    <w:rsid w:val="00A77C6E"/>
    <w:rsid w:val="00A77F6B"/>
    <w:rsid w:val="00A80FEA"/>
    <w:rsid w:val="00A81019"/>
    <w:rsid w:val="00A81B67"/>
    <w:rsid w:val="00A81BB2"/>
    <w:rsid w:val="00A8208F"/>
    <w:rsid w:val="00A82963"/>
    <w:rsid w:val="00A82F57"/>
    <w:rsid w:val="00A83032"/>
    <w:rsid w:val="00A83412"/>
    <w:rsid w:val="00A83468"/>
    <w:rsid w:val="00A83BDA"/>
    <w:rsid w:val="00A8401A"/>
    <w:rsid w:val="00A84FC0"/>
    <w:rsid w:val="00A85172"/>
    <w:rsid w:val="00A8715B"/>
    <w:rsid w:val="00A873D6"/>
    <w:rsid w:val="00A87EC9"/>
    <w:rsid w:val="00A90CA5"/>
    <w:rsid w:val="00A90D1F"/>
    <w:rsid w:val="00A922A6"/>
    <w:rsid w:val="00A92AFC"/>
    <w:rsid w:val="00A931DD"/>
    <w:rsid w:val="00A932E6"/>
    <w:rsid w:val="00A93673"/>
    <w:rsid w:val="00A941E7"/>
    <w:rsid w:val="00A94883"/>
    <w:rsid w:val="00A94C75"/>
    <w:rsid w:val="00A952B6"/>
    <w:rsid w:val="00A95B2F"/>
    <w:rsid w:val="00A96CDE"/>
    <w:rsid w:val="00A97DBE"/>
    <w:rsid w:val="00A97FE3"/>
    <w:rsid w:val="00AA0078"/>
    <w:rsid w:val="00AA03ED"/>
    <w:rsid w:val="00AA0A80"/>
    <w:rsid w:val="00AA0EEC"/>
    <w:rsid w:val="00AA0F6D"/>
    <w:rsid w:val="00AA1E35"/>
    <w:rsid w:val="00AA32A1"/>
    <w:rsid w:val="00AA36CD"/>
    <w:rsid w:val="00AA3B73"/>
    <w:rsid w:val="00AA51C7"/>
    <w:rsid w:val="00AA58F1"/>
    <w:rsid w:val="00AA5C05"/>
    <w:rsid w:val="00AA5F45"/>
    <w:rsid w:val="00AA6428"/>
    <w:rsid w:val="00AA7EC0"/>
    <w:rsid w:val="00AB1696"/>
    <w:rsid w:val="00AB1E7F"/>
    <w:rsid w:val="00AB2D32"/>
    <w:rsid w:val="00AB2FEB"/>
    <w:rsid w:val="00AB3B5A"/>
    <w:rsid w:val="00AB42F2"/>
    <w:rsid w:val="00AB45CC"/>
    <w:rsid w:val="00AB4A43"/>
    <w:rsid w:val="00AB50CB"/>
    <w:rsid w:val="00AB66C8"/>
    <w:rsid w:val="00AB7207"/>
    <w:rsid w:val="00AB743D"/>
    <w:rsid w:val="00AC0339"/>
    <w:rsid w:val="00AC0990"/>
    <w:rsid w:val="00AC0DE0"/>
    <w:rsid w:val="00AC188E"/>
    <w:rsid w:val="00AC1EBE"/>
    <w:rsid w:val="00AC1FD0"/>
    <w:rsid w:val="00AC21C4"/>
    <w:rsid w:val="00AC2BD9"/>
    <w:rsid w:val="00AC2CFF"/>
    <w:rsid w:val="00AC4825"/>
    <w:rsid w:val="00AC48F2"/>
    <w:rsid w:val="00AC5AE8"/>
    <w:rsid w:val="00AC60A0"/>
    <w:rsid w:val="00AC6190"/>
    <w:rsid w:val="00AC628E"/>
    <w:rsid w:val="00AC6A97"/>
    <w:rsid w:val="00AC6EF6"/>
    <w:rsid w:val="00AC7F9A"/>
    <w:rsid w:val="00AD0A0F"/>
    <w:rsid w:val="00AD119A"/>
    <w:rsid w:val="00AD27AC"/>
    <w:rsid w:val="00AD293E"/>
    <w:rsid w:val="00AD2AD3"/>
    <w:rsid w:val="00AD3EAA"/>
    <w:rsid w:val="00AD3FDB"/>
    <w:rsid w:val="00AD457F"/>
    <w:rsid w:val="00AD5036"/>
    <w:rsid w:val="00AD5910"/>
    <w:rsid w:val="00AD5E9D"/>
    <w:rsid w:val="00AD6117"/>
    <w:rsid w:val="00AD66FF"/>
    <w:rsid w:val="00AD6B26"/>
    <w:rsid w:val="00AD6FC2"/>
    <w:rsid w:val="00AD730F"/>
    <w:rsid w:val="00AE009C"/>
    <w:rsid w:val="00AE0494"/>
    <w:rsid w:val="00AE17E7"/>
    <w:rsid w:val="00AE1BC2"/>
    <w:rsid w:val="00AE2119"/>
    <w:rsid w:val="00AE2156"/>
    <w:rsid w:val="00AE2827"/>
    <w:rsid w:val="00AE2D64"/>
    <w:rsid w:val="00AE2EDA"/>
    <w:rsid w:val="00AE3588"/>
    <w:rsid w:val="00AE35BA"/>
    <w:rsid w:val="00AE3E16"/>
    <w:rsid w:val="00AE4A6C"/>
    <w:rsid w:val="00AE4FBC"/>
    <w:rsid w:val="00AE508D"/>
    <w:rsid w:val="00AE5680"/>
    <w:rsid w:val="00AE5E70"/>
    <w:rsid w:val="00AE6446"/>
    <w:rsid w:val="00AE69C1"/>
    <w:rsid w:val="00AF006D"/>
    <w:rsid w:val="00AF10AE"/>
    <w:rsid w:val="00AF136C"/>
    <w:rsid w:val="00AF1A65"/>
    <w:rsid w:val="00AF1F9D"/>
    <w:rsid w:val="00AF25B0"/>
    <w:rsid w:val="00AF2983"/>
    <w:rsid w:val="00AF29C8"/>
    <w:rsid w:val="00AF2CCE"/>
    <w:rsid w:val="00AF5194"/>
    <w:rsid w:val="00AF5226"/>
    <w:rsid w:val="00AF56AB"/>
    <w:rsid w:val="00AF5C93"/>
    <w:rsid w:val="00AF5E43"/>
    <w:rsid w:val="00AF667D"/>
    <w:rsid w:val="00AF68FA"/>
    <w:rsid w:val="00AF6A70"/>
    <w:rsid w:val="00AF755B"/>
    <w:rsid w:val="00AF79D0"/>
    <w:rsid w:val="00B00C8C"/>
    <w:rsid w:val="00B01366"/>
    <w:rsid w:val="00B01ADC"/>
    <w:rsid w:val="00B022EB"/>
    <w:rsid w:val="00B02300"/>
    <w:rsid w:val="00B0230B"/>
    <w:rsid w:val="00B03135"/>
    <w:rsid w:val="00B03BA4"/>
    <w:rsid w:val="00B03CE4"/>
    <w:rsid w:val="00B0484C"/>
    <w:rsid w:val="00B04CCE"/>
    <w:rsid w:val="00B04E6F"/>
    <w:rsid w:val="00B04EC7"/>
    <w:rsid w:val="00B053CC"/>
    <w:rsid w:val="00B05B08"/>
    <w:rsid w:val="00B07996"/>
    <w:rsid w:val="00B07BEA"/>
    <w:rsid w:val="00B1038F"/>
    <w:rsid w:val="00B10EBD"/>
    <w:rsid w:val="00B10FDE"/>
    <w:rsid w:val="00B11773"/>
    <w:rsid w:val="00B11AB7"/>
    <w:rsid w:val="00B11E5B"/>
    <w:rsid w:val="00B12778"/>
    <w:rsid w:val="00B12C03"/>
    <w:rsid w:val="00B13997"/>
    <w:rsid w:val="00B14A37"/>
    <w:rsid w:val="00B15958"/>
    <w:rsid w:val="00B15A01"/>
    <w:rsid w:val="00B15C83"/>
    <w:rsid w:val="00B16723"/>
    <w:rsid w:val="00B168E4"/>
    <w:rsid w:val="00B175B9"/>
    <w:rsid w:val="00B17FCE"/>
    <w:rsid w:val="00B200E7"/>
    <w:rsid w:val="00B20681"/>
    <w:rsid w:val="00B21969"/>
    <w:rsid w:val="00B23744"/>
    <w:rsid w:val="00B237FB"/>
    <w:rsid w:val="00B23AED"/>
    <w:rsid w:val="00B24B40"/>
    <w:rsid w:val="00B25047"/>
    <w:rsid w:val="00B2590D"/>
    <w:rsid w:val="00B25B81"/>
    <w:rsid w:val="00B26077"/>
    <w:rsid w:val="00B275EF"/>
    <w:rsid w:val="00B3102F"/>
    <w:rsid w:val="00B31ADC"/>
    <w:rsid w:val="00B327E2"/>
    <w:rsid w:val="00B32955"/>
    <w:rsid w:val="00B32B37"/>
    <w:rsid w:val="00B34777"/>
    <w:rsid w:val="00B35213"/>
    <w:rsid w:val="00B355C4"/>
    <w:rsid w:val="00B35CDE"/>
    <w:rsid w:val="00B3658A"/>
    <w:rsid w:val="00B36FA4"/>
    <w:rsid w:val="00B37152"/>
    <w:rsid w:val="00B37B8C"/>
    <w:rsid w:val="00B37D2B"/>
    <w:rsid w:val="00B4012A"/>
    <w:rsid w:val="00B408FF"/>
    <w:rsid w:val="00B416B5"/>
    <w:rsid w:val="00B419CD"/>
    <w:rsid w:val="00B423D7"/>
    <w:rsid w:val="00B424A0"/>
    <w:rsid w:val="00B42FA4"/>
    <w:rsid w:val="00B44256"/>
    <w:rsid w:val="00B454BD"/>
    <w:rsid w:val="00B469A2"/>
    <w:rsid w:val="00B469CC"/>
    <w:rsid w:val="00B46BB1"/>
    <w:rsid w:val="00B4720E"/>
    <w:rsid w:val="00B47305"/>
    <w:rsid w:val="00B477C6"/>
    <w:rsid w:val="00B47926"/>
    <w:rsid w:val="00B502D3"/>
    <w:rsid w:val="00B50438"/>
    <w:rsid w:val="00B50515"/>
    <w:rsid w:val="00B5108D"/>
    <w:rsid w:val="00B5159E"/>
    <w:rsid w:val="00B51B71"/>
    <w:rsid w:val="00B5383D"/>
    <w:rsid w:val="00B54416"/>
    <w:rsid w:val="00B54AAF"/>
    <w:rsid w:val="00B55462"/>
    <w:rsid w:val="00B555CD"/>
    <w:rsid w:val="00B56ACF"/>
    <w:rsid w:val="00B57883"/>
    <w:rsid w:val="00B57899"/>
    <w:rsid w:val="00B57A4D"/>
    <w:rsid w:val="00B57EF7"/>
    <w:rsid w:val="00B600B0"/>
    <w:rsid w:val="00B605DD"/>
    <w:rsid w:val="00B61190"/>
    <w:rsid w:val="00B61335"/>
    <w:rsid w:val="00B6148F"/>
    <w:rsid w:val="00B62244"/>
    <w:rsid w:val="00B6238B"/>
    <w:rsid w:val="00B624A0"/>
    <w:rsid w:val="00B6272E"/>
    <w:rsid w:val="00B62D30"/>
    <w:rsid w:val="00B63AAB"/>
    <w:rsid w:val="00B6489B"/>
    <w:rsid w:val="00B64F8D"/>
    <w:rsid w:val="00B65505"/>
    <w:rsid w:val="00B66182"/>
    <w:rsid w:val="00B6624D"/>
    <w:rsid w:val="00B664FF"/>
    <w:rsid w:val="00B66642"/>
    <w:rsid w:val="00B67D4E"/>
    <w:rsid w:val="00B708F7"/>
    <w:rsid w:val="00B70E9F"/>
    <w:rsid w:val="00B710E4"/>
    <w:rsid w:val="00B715D7"/>
    <w:rsid w:val="00B72392"/>
    <w:rsid w:val="00B72856"/>
    <w:rsid w:val="00B739CB"/>
    <w:rsid w:val="00B73EE3"/>
    <w:rsid w:val="00B7488A"/>
    <w:rsid w:val="00B74FB8"/>
    <w:rsid w:val="00B75BBD"/>
    <w:rsid w:val="00B7601A"/>
    <w:rsid w:val="00B763E3"/>
    <w:rsid w:val="00B77175"/>
    <w:rsid w:val="00B775BD"/>
    <w:rsid w:val="00B8029A"/>
    <w:rsid w:val="00B803B9"/>
    <w:rsid w:val="00B81575"/>
    <w:rsid w:val="00B81579"/>
    <w:rsid w:val="00B81D2F"/>
    <w:rsid w:val="00B82593"/>
    <w:rsid w:val="00B825CE"/>
    <w:rsid w:val="00B82A8A"/>
    <w:rsid w:val="00B838F4"/>
    <w:rsid w:val="00B84AC4"/>
    <w:rsid w:val="00B84F8F"/>
    <w:rsid w:val="00B8591A"/>
    <w:rsid w:val="00B85E46"/>
    <w:rsid w:val="00B86718"/>
    <w:rsid w:val="00B86872"/>
    <w:rsid w:val="00B87341"/>
    <w:rsid w:val="00B87425"/>
    <w:rsid w:val="00B87972"/>
    <w:rsid w:val="00B90212"/>
    <w:rsid w:val="00B90218"/>
    <w:rsid w:val="00B9025A"/>
    <w:rsid w:val="00B90478"/>
    <w:rsid w:val="00B91191"/>
    <w:rsid w:val="00B913B5"/>
    <w:rsid w:val="00B9176E"/>
    <w:rsid w:val="00B92C9D"/>
    <w:rsid w:val="00B932ED"/>
    <w:rsid w:val="00B9363C"/>
    <w:rsid w:val="00B93D0F"/>
    <w:rsid w:val="00B94625"/>
    <w:rsid w:val="00B95944"/>
    <w:rsid w:val="00B96942"/>
    <w:rsid w:val="00B96969"/>
    <w:rsid w:val="00B96F2F"/>
    <w:rsid w:val="00B976BA"/>
    <w:rsid w:val="00B97A6C"/>
    <w:rsid w:val="00BA0095"/>
    <w:rsid w:val="00BA0116"/>
    <w:rsid w:val="00BA0B04"/>
    <w:rsid w:val="00BA1522"/>
    <w:rsid w:val="00BA1B88"/>
    <w:rsid w:val="00BA2035"/>
    <w:rsid w:val="00BA2F5A"/>
    <w:rsid w:val="00BA3173"/>
    <w:rsid w:val="00BA36C3"/>
    <w:rsid w:val="00BA370B"/>
    <w:rsid w:val="00BA3F19"/>
    <w:rsid w:val="00BA41F6"/>
    <w:rsid w:val="00BA4277"/>
    <w:rsid w:val="00BA4E92"/>
    <w:rsid w:val="00BA594D"/>
    <w:rsid w:val="00BA6145"/>
    <w:rsid w:val="00BA66AA"/>
    <w:rsid w:val="00BA7111"/>
    <w:rsid w:val="00BA79C6"/>
    <w:rsid w:val="00BB015C"/>
    <w:rsid w:val="00BB06A0"/>
    <w:rsid w:val="00BB1ECD"/>
    <w:rsid w:val="00BB2003"/>
    <w:rsid w:val="00BB23CA"/>
    <w:rsid w:val="00BB271D"/>
    <w:rsid w:val="00BB2B38"/>
    <w:rsid w:val="00BB2C8E"/>
    <w:rsid w:val="00BB39FD"/>
    <w:rsid w:val="00BB4CB9"/>
    <w:rsid w:val="00BB4E62"/>
    <w:rsid w:val="00BB5346"/>
    <w:rsid w:val="00BB578D"/>
    <w:rsid w:val="00BB6C67"/>
    <w:rsid w:val="00BB7400"/>
    <w:rsid w:val="00BC0E73"/>
    <w:rsid w:val="00BC14FD"/>
    <w:rsid w:val="00BC1B7E"/>
    <w:rsid w:val="00BC2FF2"/>
    <w:rsid w:val="00BC303A"/>
    <w:rsid w:val="00BC3AE0"/>
    <w:rsid w:val="00BC4108"/>
    <w:rsid w:val="00BC54F3"/>
    <w:rsid w:val="00BD048B"/>
    <w:rsid w:val="00BD0DA3"/>
    <w:rsid w:val="00BD0DD8"/>
    <w:rsid w:val="00BD222F"/>
    <w:rsid w:val="00BD2FB8"/>
    <w:rsid w:val="00BD3539"/>
    <w:rsid w:val="00BD372B"/>
    <w:rsid w:val="00BD3E27"/>
    <w:rsid w:val="00BD4D9D"/>
    <w:rsid w:val="00BD5B22"/>
    <w:rsid w:val="00BD5DC6"/>
    <w:rsid w:val="00BD6447"/>
    <w:rsid w:val="00BD64BE"/>
    <w:rsid w:val="00BD655B"/>
    <w:rsid w:val="00BD70F6"/>
    <w:rsid w:val="00BD7841"/>
    <w:rsid w:val="00BE01B3"/>
    <w:rsid w:val="00BE05DA"/>
    <w:rsid w:val="00BE080C"/>
    <w:rsid w:val="00BE0951"/>
    <w:rsid w:val="00BE133E"/>
    <w:rsid w:val="00BE14C3"/>
    <w:rsid w:val="00BE2301"/>
    <w:rsid w:val="00BE31A0"/>
    <w:rsid w:val="00BE3803"/>
    <w:rsid w:val="00BE3B7E"/>
    <w:rsid w:val="00BE3C33"/>
    <w:rsid w:val="00BE3EF8"/>
    <w:rsid w:val="00BE446F"/>
    <w:rsid w:val="00BE451C"/>
    <w:rsid w:val="00BE4D4F"/>
    <w:rsid w:val="00BE640A"/>
    <w:rsid w:val="00BE698C"/>
    <w:rsid w:val="00BF31CD"/>
    <w:rsid w:val="00BF3448"/>
    <w:rsid w:val="00BF3A54"/>
    <w:rsid w:val="00BF45D2"/>
    <w:rsid w:val="00BF467C"/>
    <w:rsid w:val="00BF4C63"/>
    <w:rsid w:val="00BF584F"/>
    <w:rsid w:val="00BF5A0E"/>
    <w:rsid w:val="00BF5B1F"/>
    <w:rsid w:val="00BF615E"/>
    <w:rsid w:val="00BF61F5"/>
    <w:rsid w:val="00BF68F7"/>
    <w:rsid w:val="00BF6C42"/>
    <w:rsid w:val="00BF7469"/>
    <w:rsid w:val="00BF7E04"/>
    <w:rsid w:val="00C00447"/>
    <w:rsid w:val="00C0121A"/>
    <w:rsid w:val="00C0169A"/>
    <w:rsid w:val="00C01EFF"/>
    <w:rsid w:val="00C0224D"/>
    <w:rsid w:val="00C03210"/>
    <w:rsid w:val="00C04362"/>
    <w:rsid w:val="00C04D01"/>
    <w:rsid w:val="00C04D41"/>
    <w:rsid w:val="00C0500B"/>
    <w:rsid w:val="00C0593D"/>
    <w:rsid w:val="00C068E1"/>
    <w:rsid w:val="00C06A12"/>
    <w:rsid w:val="00C06E70"/>
    <w:rsid w:val="00C113DA"/>
    <w:rsid w:val="00C11893"/>
    <w:rsid w:val="00C11D9A"/>
    <w:rsid w:val="00C1272B"/>
    <w:rsid w:val="00C12A68"/>
    <w:rsid w:val="00C12E97"/>
    <w:rsid w:val="00C1335F"/>
    <w:rsid w:val="00C13E7E"/>
    <w:rsid w:val="00C14839"/>
    <w:rsid w:val="00C1576C"/>
    <w:rsid w:val="00C16427"/>
    <w:rsid w:val="00C172F2"/>
    <w:rsid w:val="00C1795C"/>
    <w:rsid w:val="00C17F3E"/>
    <w:rsid w:val="00C201F7"/>
    <w:rsid w:val="00C20526"/>
    <w:rsid w:val="00C20B21"/>
    <w:rsid w:val="00C213C1"/>
    <w:rsid w:val="00C2184E"/>
    <w:rsid w:val="00C21E08"/>
    <w:rsid w:val="00C223B3"/>
    <w:rsid w:val="00C23406"/>
    <w:rsid w:val="00C23A0D"/>
    <w:rsid w:val="00C23A8F"/>
    <w:rsid w:val="00C24191"/>
    <w:rsid w:val="00C2423A"/>
    <w:rsid w:val="00C24A60"/>
    <w:rsid w:val="00C24DC2"/>
    <w:rsid w:val="00C24F60"/>
    <w:rsid w:val="00C25373"/>
    <w:rsid w:val="00C25792"/>
    <w:rsid w:val="00C25A14"/>
    <w:rsid w:val="00C27084"/>
    <w:rsid w:val="00C3000F"/>
    <w:rsid w:val="00C30131"/>
    <w:rsid w:val="00C3029C"/>
    <w:rsid w:val="00C30779"/>
    <w:rsid w:val="00C3178B"/>
    <w:rsid w:val="00C31938"/>
    <w:rsid w:val="00C319FF"/>
    <w:rsid w:val="00C31A0E"/>
    <w:rsid w:val="00C31E42"/>
    <w:rsid w:val="00C33D39"/>
    <w:rsid w:val="00C3438C"/>
    <w:rsid w:val="00C34838"/>
    <w:rsid w:val="00C34EA3"/>
    <w:rsid w:val="00C35086"/>
    <w:rsid w:val="00C352C3"/>
    <w:rsid w:val="00C35E29"/>
    <w:rsid w:val="00C40015"/>
    <w:rsid w:val="00C40168"/>
    <w:rsid w:val="00C4026D"/>
    <w:rsid w:val="00C41166"/>
    <w:rsid w:val="00C42452"/>
    <w:rsid w:val="00C42B5D"/>
    <w:rsid w:val="00C43138"/>
    <w:rsid w:val="00C43290"/>
    <w:rsid w:val="00C43923"/>
    <w:rsid w:val="00C43A92"/>
    <w:rsid w:val="00C4433D"/>
    <w:rsid w:val="00C44433"/>
    <w:rsid w:val="00C449A3"/>
    <w:rsid w:val="00C45CC8"/>
    <w:rsid w:val="00C46297"/>
    <w:rsid w:val="00C4649A"/>
    <w:rsid w:val="00C46849"/>
    <w:rsid w:val="00C46CF9"/>
    <w:rsid w:val="00C46F95"/>
    <w:rsid w:val="00C470BB"/>
    <w:rsid w:val="00C4750F"/>
    <w:rsid w:val="00C4787E"/>
    <w:rsid w:val="00C47A88"/>
    <w:rsid w:val="00C508F2"/>
    <w:rsid w:val="00C508F4"/>
    <w:rsid w:val="00C5102E"/>
    <w:rsid w:val="00C512B9"/>
    <w:rsid w:val="00C5166A"/>
    <w:rsid w:val="00C51A73"/>
    <w:rsid w:val="00C51BFA"/>
    <w:rsid w:val="00C51C2B"/>
    <w:rsid w:val="00C52378"/>
    <w:rsid w:val="00C53337"/>
    <w:rsid w:val="00C53B54"/>
    <w:rsid w:val="00C54832"/>
    <w:rsid w:val="00C55CF2"/>
    <w:rsid w:val="00C567D2"/>
    <w:rsid w:val="00C5686B"/>
    <w:rsid w:val="00C56CC9"/>
    <w:rsid w:val="00C56E71"/>
    <w:rsid w:val="00C57B6E"/>
    <w:rsid w:val="00C605D8"/>
    <w:rsid w:val="00C60A99"/>
    <w:rsid w:val="00C60EB5"/>
    <w:rsid w:val="00C616CB"/>
    <w:rsid w:val="00C61DCA"/>
    <w:rsid w:val="00C61E21"/>
    <w:rsid w:val="00C6241D"/>
    <w:rsid w:val="00C6287D"/>
    <w:rsid w:val="00C6298A"/>
    <w:rsid w:val="00C62BBA"/>
    <w:rsid w:val="00C63382"/>
    <w:rsid w:val="00C633C9"/>
    <w:rsid w:val="00C63996"/>
    <w:rsid w:val="00C63DF4"/>
    <w:rsid w:val="00C63E47"/>
    <w:rsid w:val="00C64681"/>
    <w:rsid w:val="00C64FCC"/>
    <w:rsid w:val="00C6657B"/>
    <w:rsid w:val="00C669E4"/>
    <w:rsid w:val="00C7093F"/>
    <w:rsid w:val="00C70CDD"/>
    <w:rsid w:val="00C72129"/>
    <w:rsid w:val="00C7267E"/>
    <w:rsid w:val="00C72890"/>
    <w:rsid w:val="00C7308C"/>
    <w:rsid w:val="00C7351C"/>
    <w:rsid w:val="00C73767"/>
    <w:rsid w:val="00C74024"/>
    <w:rsid w:val="00C742E8"/>
    <w:rsid w:val="00C7462D"/>
    <w:rsid w:val="00C75230"/>
    <w:rsid w:val="00C769F5"/>
    <w:rsid w:val="00C7749F"/>
    <w:rsid w:val="00C808AD"/>
    <w:rsid w:val="00C80A35"/>
    <w:rsid w:val="00C82D04"/>
    <w:rsid w:val="00C82D47"/>
    <w:rsid w:val="00C8309A"/>
    <w:rsid w:val="00C83B15"/>
    <w:rsid w:val="00C83C86"/>
    <w:rsid w:val="00C84821"/>
    <w:rsid w:val="00C84E55"/>
    <w:rsid w:val="00C84FAD"/>
    <w:rsid w:val="00C85402"/>
    <w:rsid w:val="00C85566"/>
    <w:rsid w:val="00C856F0"/>
    <w:rsid w:val="00C85BB4"/>
    <w:rsid w:val="00C87667"/>
    <w:rsid w:val="00C900FF"/>
    <w:rsid w:val="00C904F4"/>
    <w:rsid w:val="00C90DDD"/>
    <w:rsid w:val="00C90DEB"/>
    <w:rsid w:val="00C91A4E"/>
    <w:rsid w:val="00C925C8"/>
    <w:rsid w:val="00C931BB"/>
    <w:rsid w:val="00C93FDC"/>
    <w:rsid w:val="00C952D3"/>
    <w:rsid w:val="00C960A8"/>
    <w:rsid w:val="00C9614F"/>
    <w:rsid w:val="00C979F4"/>
    <w:rsid w:val="00CA0831"/>
    <w:rsid w:val="00CA0916"/>
    <w:rsid w:val="00CA0A25"/>
    <w:rsid w:val="00CA1697"/>
    <w:rsid w:val="00CA1D0B"/>
    <w:rsid w:val="00CA2264"/>
    <w:rsid w:val="00CA2954"/>
    <w:rsid w:val="00CA364D"/>
    <w:rsid w:val="00CA42B7"/>
    <w:rsid w:val="00CA4645"/>
    <w:rsid w:val="00CA64AA"/>
    <w:rsid w:val="00CA664C"/>
    <w:rsid w:val="00CA6916"/>
    <w:rsid w:val="00CB000D"/>
    <w:rsid w:val="00CB0F96"/>
    <w:rsid w:val="00CB2607"/>
    <w:rsid w:val="00CB2652"/>
    <w:rsid w:val="00CB2809"/>
    <w:rsid w:val="00CB2B0F"/>
    <w:rsid w:val="00CB3CB0"/>
    <w:rsid w:val="00CB4665"/>
    <w:rsid w:val="00CB509E"/>
    <w:rsid w:val="00CB6E95"/>
    <w:rsid w:val="00CB7F84"/>
    <w:rsid w:val="00CC045C"/>
    <w:rsid w:val="00CC1AA2"/>
    <w:rsid w:val="00CC1FA1"/>
    <w:rsid w:val="00CC312F"/>
    <w:rsid w:val="00CC3B7D"/>
    <w:rsid w:val="00CC3CA2"/>
    <w:rsid w:val="00CC5AFC"/>
    <w:rsid w:val="00CC6812"/>
    <w:rsid w:val="00CD1848"/>
    <w:rsid w:val="00CD1BD1"/>
    <w:rsid w:val="00CD1D69"/>
    <w:rsid w:val="00CD3047"/>
    <w:rsid w:val="00CD3446"/>
    <w:rsid w:val="00CD3474"/>
    <w:rsid w:val="00CD36E1"/>
    <w:rsid w:val="00CD4DC4"/>
    <w:rsid w:val="00CD4F5D"/>
    <w:rsid w:val="00CD5148"/>
    <w:rsid w:val="00CD57EF"/>
    <w:rsid w:val="00CD646E"/>
    <w:rsid w:val="00CD718D"/>
    <w:rsid w:val="00CD76B8"/>
    <w:rsid w:val="00CD7939"/>
    <w:rsid w:val="00CD7AC0"/>
    <w:rsid w:val="00CE0B6C"/>
    <w:rsid w:val="00CE0C4B"/>
    <w:rsid w:val="00CE291A"/>
    <w:rsid w:val="00CE2E44"/>
    <w:rsid w:val="00CE48E1"/>
    <w:rsid w:val="00CE4C2A"/>
    <w:rsid w:val="00CE4FB4"/>
    <w:rsid w:val="00CE51EE"/>
    <w:rsid w:val="00CE5880"/>
    <w:rsid w:val="00CE6304"/>
    <w:rsid w:val="00CE7089"/>
    <w:rsid w:val="00CE76C3"/>
    <w:rsid w:val="00CF0264"/>
    <w:rsid w:val="00CF1547"/>
    <w:rsid w:val="00CF18CC"/>
    <w:rsid w:val="00CF1B55"/>
    <w:rsid w:val="00CF264C"/>
    <w:rsid w:val="00CF26BF"/>
    <w:rsid w:val="00CF2CB6"/>
    <w:rsid w:val="00CF36A4"/>
    <w:rsid w:val="00CF3AAB"/>
    <w:rsid w:val="00CF4070"/>
    <w:rsid w:val="00CF457A"/>
    <w:rsid w:val="00CF4E4D"/>
    <w:rsid w:val="00CF4EF3"/>
    <w:rsid w:val="00CF4F2A"/>
    <w:rsid w:val="00CF5681"/>
    <w:rsid w:val="00CF6321"/>
    <w:rsid w:val="00CF6C72"/>
    <w:rsid w:val="00CF7218"/>
    <w:rsid w:val="00CF72F6"/>
    <w:rsid w:val="00CF7B23"/>
    <w:rsid w:val="00CF7C31"/>
    <w:rsid w:val="00CF7E26"/>
    <w:rsid w:val="00D00716"/>
    <w:rsid w:val="00D01728"/>
    <w:rsid w:val="00D02041"/>
    <w:rsid w:val="00D02168"/>
    <w:rsid w:val="00D02506"/>
    <w:rsid w:val="00D040EC"/>
    <w:rsid w:val="00D04554"/>
    <w:rsid w:val="00D0468C"/>
    <w:rsid w:val="00D04BA7"/>
    <w:rsid w:val="00D04E63"/>
    <w:rsid w:val="00D07018"/>
    <w:rsid w:val="00D073CD"/>
    <w:rsid w:val="00D078C9"/>
    <w:rsid w:val="00D07E0D"/>
    <w:rsid w:val="00D10741"/>
    <w:rsid w:val="00D11C43"/>
    <w:rsid w:val="00D12403"/>
    <w:rsid w:val="00D12502"/>
    <w:rsid w:val="00D1360E"/>
    <w:rsid w:val="00D137D4"/>
    <w:rsid w:val="00D13ED8"/>
    <w:rsid w:val="00D146A3"/>
    <w:rsid w:val="00D14C60"/>
    <w:rsid w:val="00D15504"/>
    <w:rsid w:val="00D1625F"/>
    <w:rsid w:val="00D16C3B"/>
    <w:rsid w:val="00D17F97"/>
    <w:rsid w:val="00D20109"/>
    <w:rsid w:val="00D2040C"/>
    <w:rsid w:val="00D217ED"/>
    <w:rsid w:val="00D21BED"/>
    <w:rsid w:val="00D224B8"/>
    <w:rsid w:val="00D24F2B"/>
    <w:rsid w:val="00D253E3"/>
    <w:rsid w:val="00D25A4E"/>
    <w:rsid w:val="00D265FB"/>
    <w:rsid w:val="00D269FC"/>
    <w:rsid w:val="00D26C0B"/>
    <w:rsid w:val="00D2711D"/>
    <w:rsid w:val="00D27ED4"/>
    <w:rsid w:val="00D3046A"/>
    <w:rsid w:val="00D30BD2"/>
    <w:rsid w:val="00D31DF3"/>
    <w:rsid w:val="00D326F5"/>
    <w:rsid w:val="00D32F77"/>
    <w:rsid w:val="00D33593"/>
    <w:rsid w:val="00D33959"/>
    <w:rsid w:val="00D37075"/>
    <w:rsid w:val="00D375C1"/>
    <w:rsid w:val="00D37C52"/>
    <w:rsid w:val="00D408C7"/>
    <w:rsid w:val="00D41C6F"/>
    <w:rsid w:val="00D42DB8"/>
    <w:rsid w:val="00D43020"/>
    <w:rsid w:val="00D43315"/>
    <w:rsid w:val="00D43E14"/>
    <w:rsid w:val="00D44A55"/>
    <w:rsid w:val="00D4671F"/>
    <w:rsid w:val="00D46C4D"/>
    <w:rsid w:val="00D4761E"/>
    <w:rsid w:val="00D478E0"/>
    <w:rsid w:val="00D47D41"/>
    <w:rsid w:val="00D47EF7"/>
    <w:rsid w:val="00D50401"/>
    <w:rsid w:val="00D50459"/>
    <w:rsid w:val="00D516E8"/>
    <w:rsid w:val="00D51D64"/>
    <w:rsid w:val="00D5272B"/>
    <w:rsid w:val="00D53790"/>
    <w:rsid w:val="00D5403A"/>
    <w:rsid w:val="00D5475A"/>
    <w:rsid w:val="00D55E7D"/>
    <w:rsid w:val="00D562D9"/>
    <w:rsid w:val="00D568BA"/>
    <w:rsid w:val="00D56D52"/>
    <w:rsid w:val="00D609C9"/>
    <w:rsid w:val="00D60E13"/>
    <w:rsid w:val="00D614AB"/>
    <w:rsid w:val="00D6263D"/>
    <w:rsid w:val="00D6270C"/>
    <w:rsid w:val="00D62987"/>
    <w:rsid w:val="00D629A7"/>
    <w:rsid w:val="00D63202"/>
    <w:rsid w:val="00D636C2"/>
    <w:rsid w:val="00D640DD"/>
    <w:rsid w:val="00D65370"/>
    <w:rsid w:val="00D65A48"/>
    <w:rsid w:val="00D66B0C"/>
    <w:rsid w:val="00D66BC7"/>
    <w:rsid w:val="00D66F2D"/>
    <w:rsid w:val="00D66FD6"/>
    <w:rsid w:val="00D67BD9"/>
    <w:rsid w:val="00D700E9"/>
    <w:rsid w:val="00D70B1F"/>
    <w:rsid w:val="00D70DC9"/>
    <w:rsid w:val="00D722A2"/>
    <w:rsid w:val="00D724E8"/>
    <w:rsid w:val="00D7265E"/>
    <w:rsid w:val="00D7370F"/>
    <w:rsid w:val="00D73DEC"/>
    <w:rsid w:val="00D74FF3"/>
    <w:rsid w:val="00D7591E"/>
    <w:rsid w:val="00D762FD"/>
    <w:rsid w:val="00D76DF5"/>
    <w:rsid w:val="00D77241"/>
    <w:rsid w:val="00D7736D"/>
    <w:rsid w:val="00D77752"/>
    <w:rsid w:val="00D777EA"/>
    <w:rsid w:val="00D77B0E"/>
    <w:rsid w:val="00D77DF1"/>
    <w:rsid w:val="00D80A0B"/>
    <w:rsid w:val="00D80DE6"/>
    <w:rsid w:val="00D810D3"/>
    <w:rsid w:val="00D81777"/>
    <w:rsid w:val="00D828EB"/>
    <w:rsid w:val="00D82E10"/>
    <w:rsid w:val="00D83373"/>
    <w:rsid w:val="00D83758"/>
    <w:rsid w:val="00D84ABA"/>
    <w:rsid w:val="00D84DE8"/>
    <w:rsid w:val="00D8537D"/>
    <w:rsid w:val="00D8588B"/>
    <w:rsid w:val="00D86A33"/>
    <w:rsid w:val="00D86F77"/>
    <w:rsid w:val="00D870D5"/>
    <w:rsid w:val="00D90F14"/>
    <w:rsid w:val="00D913C9"/>
    <w:rsid w:val="00D922B5"/>
    <w:rsid w:val="00D92917"/>
    <w:rsid w:val="00D92CDB"/>
    <w:rsid w:val="00D92E5A"/>
    <w:rsid w:val="00D93F95"/>
    <w:rsid w:val="00D94558"/>
    <w:rsid w:val="00D94A9F"/>
    <w:rsid w:val="00D94B2D"/>
    <w:rsid w:val="00D95018"/>
    <w:rsid w:val="00D96452"/>
    <w:rsid w:val="00D96DC4"/>
    <w:rsid w:val="00DA02CE"/>
    <w:rsid w:val="00DA0507"/>
    <w:rsid w:val="00DA26A2"/>
    <w:rsid w:val="00DA382B"/>
    <w:rsid w:val="00DA3875"/>
    <w:rsid w:val="00DA4093"/>
    <w:rsid w:val="00DA4AF4"/>
    <w:rsid w:val="00DA4D42"/>
    <w:rsid w:val="00DA4E52"/>
    <w:rsid w:val="00DA5205"/>
    <w:rsid w:val="00DA52F4"/>
    <w:rsid w:val="00DA5385"/>
    <w:rsid w:val="00DA592D"/>
    <w:rsid w:val="00DA60E7"/>
    <w:rsid w:val="00DA7C81"/>
    <w:rsid w:val="00DA7F98"/>
    <w:rsid w:val="00DB01B9"/>
    <w:rsid w:val="00DB0752"/>
    <w:rsid w:val="00DB1441"/>
    <w:rsid w:val="00DB2829"/>
    <w:rsid w:val="00DB2B72"/>
    <w:rsid w:val="00DB2E59"/>
    <w:rsid w:val="00DB32C2"/>
    <w:rsid w:val="00DB358F"/>
    <w:rsid w:val="00DB3EC2"/>
    <w:rsid w:val="00DB44B6"/>
    <w:rsid w:val="00DB5095"/>
    <w:rsid w:val="00DB5765"/>
    <w:rsid w:val="00DB5D48"/>
    <w:rsid w:val="00DB6358"/>
    <w:rsid w:val="00DB6403"/>
    <w:rsid w:val="00DB679D"/>
    <w:rsid w:val="00DB696D"/>
    <w:rsid w:val="00DB790E"/>
    <w:rsid w:val="00DB7BED"/>
    <w:rsid w:val="00DC134D"/>
    <w:rsid w:val="00DC1C53"/>
    <w:rsid w:val="00DC1C7E"/>
    <w:rsid w:val="00DC2066"/>
    <w:rsid w:val="00DC2ABF"/>
    <w:rsid w:val="00DC36C7"/>
    <w:rsid w:val="00DC377B"/>
    <w:rsid w:val="00DC4094"/>
    <w:rsid w:val="00DC44F1"/>
    <w:rsid w:val="00DC477D"/>
    <w:rsid w:val="00DC49E2"/>
    <w:rsid w:val="00DC4ABA"/>
    <w:rsid w:val="00DC4CB8"/>
    <w:rsid w:val="00DC4E72"/>
    <w:rsid w:val="00DC5642"/>
    <w:rsid w:val="00DC6093"/>
    <w:rsid w:val="00DC6566"/>
    <w:rsid w:val="00DC66A4"/>
    <w:rsid w:val="00DC7641"/>
    <w:rsid w:val="00DD10B3"/>
    <w:rsid w:val="00DD159F"/>
    <w:rsid w:val="00DD1B0F"/>
    <w:rsid w:val="00DD2C02"/>
    <w:rsid w:val="00DD359D"/>
    <w:rsid w:val="00DD44B6"/>
    <w:rsid w:val="00DD4E2B"/>
    <w:rsid w:val="00DD4E53"/>
    <w:rsid w:val="00DD523A"/>
    <w:rsid w:val="00DD5E6F"/>
    <w:rsid w:val="00DD648C"/>
    <w:rsid w:val="00DD6605"/>
    <w:rsid w:val="00DD6E3B"/>
    <w:rsid w:val="00DE036C"/>
    <w:rsid w:val="00DE1BFF"/>
    <w:rsid w:val="00DE1DC1"/>
    <w:rsid w:val="00DE254D"/>
    <w:rsid w:val="00DE3755"/>
    <w:rsid w:val="00DE37FA"/>
    <w:rsid w:val="00DE3EEA"/>
    <w:rsid w:val="00DE4B6B"/>
    <w:rsid w:val="00DE6BB2"/>
    <w:rsid w:val="00DE709B"/>
    <w:rsid w:val="00DE70AF"/>
    <w:rsid w:val="00DF0711"/>
    <w:rsid w:val="00DF0893"/>
    <w:rsid w:val="00DF0A27"/>
    <w:rsid w:val="00DF239F"/>
    <w:rsid w:val="00DF2704"/>
    <w:rsid w:val="00DF4466"/>
    <w:rsid w:val="00DF4A83"/>
    <w:rsid w:val="00DF6AB5"/>
    <w:rsid w:val="00DF6D26"/>
    <w:rsid w:val="00DF7F16"/>
    <w:rsid w:val="00DF7FA6"/>
    <w:rsid w:val="00E00ED3"/>
    <w:rsid w:val="00E0137C"/>
    <w:rsid w:val="00E01437"/>
    <w:rsid w:val="00E0192D"/>
    <w:rsid w:val="00E01A2C"/>
    <w:rsid w:val="00E03310"/>
    <w:rsid w:val="00E046A2"/>
    <w:rsid w:val="00E05BBB"/>
    <w:rsid w:val="00E06063"/>
    <w:rsid w:val="00E064F5"/>
    <w:rsid w:val="00E06B7E"/>
    <w:rsid w:val="00E070F7"/>
    <w:rsid w:val="00E07477"/>
    <w:rsid w:val="00E10651"/>
    <w:rsid w:val="00E10BB1"/>
    <w:rsid w:val="00E111B6"/>
    <w:rsid w:val="00E116EC"/>
    <w:rsid w:val="00E118F9"/>
    <w:rsid w:val="00E11A42"/>
    <w:rsid w:val="00E11EB6"/>
    <w:rsid w:val="00E11F69"/>
    <w:rsid w:val="00E11FF2"/>
    <w:rsid w:val="00E1211C"/>
    <w:rsid w:val="00E1280A"/>
    <w:rsid w:val="00E12A94"/>
    <w:rsid w:val="00E12AF9"/>
    <w:rsid w:val="00E13169"/>
    <w:rsid w:val="00E137C2"/>
    <w:rsid w:val="00E13890"/>
    <w:rsid w:val="00E14975"/>
    <w:rsid w:val="00E15363"/>
    <w:rsid w:val="00E176F1"/>
    <w:rsid w:val="00E17734"/>
    <w:rsid w:val="00E1775B"/>
    <w:rsid w:val="00E17BDE"/>
    <w:rsid w:val="00E17CD5"/>
    <w:rsid w:val="00E17DCD"/>
    <w:rsid w:val="00E17F4E"/>
    <w:rsid w:val="00E201F6"/>
    <w:rsid w:val="00E22212"/>
    <w:rsid w:val="00E22A6E"/>
    <w:rsid w:val="00E23433"/>
    <w:rsid w:val="00E2371D"/>
    <w:rsid w:val="00E2372A"/>
    <w:rsid w:val="00E2372B"/>
    <w:rsid w:val="00E23AEA"/>
    <w:rsid w:val="00E24D9E"/>
    <w:rsid w:val="00E25814"/>
    <w:rsid w:val="00E25AD1"/>
    <w:rsid w:val="00E26804"/>
    <w:rsid w:val="00E27954"/>
    <w:rsid w:val="00E30AB6"/>
    <w:rsid w:val="00E32321"/>
    <w:rsid w:val="00E324B9"/>
    <w:rsid w:val="00E32E8F"/>
    <w:rsid w:val="00E32F16"/>
    <w:rsid w:val="00E3390D"/>
    <w:rsid w:val="00E33C02"/>
    <w:rsid w:val="00E34099"/>
    <w:rsid w:val="00E34374"/>
    <w:rsid w:val="00E3442D"/>
    <w:rsid w:val="00E34815"/>
    <w:rsid w:val="00E349F9"/>
    <w:rsid w:val="00E357DE"/>
    <w:rsid w:val="00E35BCF"/>
    <w:rsid w:val="00E35D14"/>
    <w:rsid w:val="00E3615B"/>
    <w:rsid w:val="00E36E3C"/>
    <w:rsid w:val="00E4032C"/>
    <w:rsid w:val="00E40E4E"/>
    <w:rsid w:val="00E41DAC"/>
    <w:rsid w:val="00E41DE6"/>
    <w:rsid w:val="00E41E16"/>
    <w:rsid w:val="00E42748"/>
    <w:rsid w:val="00E42BD7"/>
    <w:rsid w:val="00E42C2B"/>
    <w:rsid w:val="00E4307A"/>
    <w:rsid w:val="00E43613"/>
    <w:rsid w:val="00E43760"/>
    <w:rsid w:val="00E43C86"/>
    <w:rsid w:val="00E4447B"/>
    <w:rsid w:val="00E447AB"/>
    <w:rsid w:val="00E45252"/>
    <w:rsid w:val="00E45650"/>
    <w:rsid w:val="00E45695"/>
    <w:rsid w:val="00E45AA2"/>
    <w:rsid w:val="00E45BF0"/>
    <w:rsid w:val="00E46A64"/>
    <w:rsid w:val="00E4745B"/>
    <w:rsid w:val="00E479A5"/>
    <w:rsid w:val="00E47C6F"/>
    <w:rsid w:val="00E5081B"/>
    <w:rsid w:val="00E50AA5"/>
    <w:rsid w:val="00E51375"/>
    <w:rsid w:val="00E5167F"/>
    <w:rsid w:val="00E527E8"/>
    <w:rsid w:val="00E52FA8"/>
    <w:rsid w:val="00E5401D"/>
    <w:rsid w:val="00E55A13"/>
    <w:rsid w:val="00E56176"/>
    <w:rsid w:val="00E56E68"/>
    <w:rsid w:val="00E57D01"/>
    <w:rsid w:val="00E62028"/>
    <w:rsid w:val="00E620F9"/>
    <w:rsid w:val="00E63096"/>
    <w:rsid w:val="00E6360D"/>
    <w:rsid w:val="00E6385C"/>
    <w:rsid w:val="00E65F68"/>
    <w:rsid w:val="00E66726"/>
    <w:rsid w:val="00E668E4"/>
    <w:rsid w:val="00E66CE5"/>
    <w:rsid w:val="00E70043"/>
    <w:rsid w:val="00E7086D"/>
    <w:rsid w:val="00E7092E"/>
    <w:rsid w:val="00E718DC"/>
    <w:rsid w:val="00E71AC6"/>
    <w:rsid w:val="00E720E3"/>
    <w:rsid w:val="00E72266"/>
    <w:rsid w:val="00E72E48"/>
    <w:rsid w:val="00E7305D"/>
    <w:rsid w:val="00E7391C"/>
    <w:rsid w:val="00E73CAA"/>
    <w:rsid w:val="00E752AF"/>
    <w:rsid w:val="00E753BE"/>
    <w:rsid w:val="00E75537"/>
    <w:rsid w:val="00E7676C"/>
    <w:rsid w:val="00E77BBA"/>
    <w:rsid w:val="00E80224"/>
    <w:rsid w:val="00E80794"/>
    <w:rsid w:val="00E80BD7"/>
    <w:rsid w:val="00E80D06"/>
    <w:rsid w:val="00E8251C"/>
    <w:rsid w:val="00E82DE7"/>
    <w:rsid w:val="00E82E37"/>
    <w:rsid w:val="00E8357A"/>
    <w:rsid w:val="00E84596"/>
    <w:rsid w:val="00E853B6"/>
    <w:rsid w:val="00E8563A"/>
    <w:rsid w:val="00E86989"/>
    <w:rsid w:val="00E86BE0"/>
    <w:rsid w:val="00E87677"/>
    <w:rsid w:val="00E87B11"/>
    <w:rsid w:val="00E90040"/>
    <w:rsid w:val="00E90646"/>
    <w:rsid w:val="00E90903"/>
    <w:rsid w:val="00E91382"/>
    <w:rsid w:val="00E91B5A"/>
    <w:rsid w:val="00E92155"/>
    <w:rsid w:val="00E92DD9"/>
    <w:rsid w:val="00E93B53"/>
    <w:rsid w:val="00E94567"/>
    <w:rsid w:val="00E95113"/>
    <w:rsid w:val="00E951B6"/>
    <w:rsid w:val="00E95AC3"/>
    <w:rsid w:val="00E95C1D"/>
    <w:rsid w:val="00E977B6"/>
    <w:rsid w:val="00E97A6C"/>
    <w:rsid w:val="00E97AB9"/>
    <w:rsid w:val="00EA022A"/>
    <w:rsid w:val="00EA02A6"/>
    <w:rsid w:val="00EA0436"/>
    <w:rsid w:val="00EA0A6B"/>
    <w:rsid w:val="00EA0B49"/>
    <w:rsid w:val="00EA0B8F"/>
    <w:rsid w:val="00EA1093"/>
    <w:rsid w:val="00EA13DB"/>
    <w:rsid w:val="00EA1540"/>
    <w:rsid w:val="00EA1663"/>
    <w:rsid w:val="00EA1B4A"/>
    <w:rsid w:val="00EA2818"/>
    <w:rsid w:val="00EA2B20"/>
    <w:rsid w:val="00EA2DF7"/>
    <w:rsid w:val="00EA2FC0"/>
    <w:rsid w:val="00EA3969"/>
    <w:rsid w:val="00EA3C35"/>
    <w:rsid w:val="00EA4017"/>
    <w:rsid w:val="00EA4197"/>
    <w:rsid w:val="00EA4BFD"/>
    <w:rsid w:val="00EA4F7F"/>
    <w:rsid w:val="00EA5E60"/>
    <w:rsid w:val="00EA6AB7"/>
    <w:rsid w:val="00EA709A"/>
    <w:rsid w:val="00EA780C"/>
    <w:rsid w:val="00EA7B6A"/>
    <w:rsid w:val="00EB03B3"/>
    <w:rsid w:val="00EB0957"/>
    <w:rsid w:val="00EB1A4F"/>
    <w:rsid w:val="00EB2E76"/>
    <w:rsid w:val="00EB3694"/>
    <w:rsid w:val="00EB39DC"/>
    <w:rsid w:val="00EB40E0"/>
    <w:rsid w:val="00EB42C4"/>
    <w:rsid w:val="00EB4549"/>
    <w:rsid w:val="00EB497F"/>
    <w:rsid w:val="00EB50F5"/>
    <w:rsid w:val="00EB66B0"/>
    <w:rsid w:val="00EB69D3"/>
    <w:rsid w:val="00EB6A41"/>
    <w:rsid w:val="00EC00BD"/>
    <w:rsid w:val="00EC0738"/>
    <w:rsid w:val="00EC0FFD"/>
    <w:rsid w:val="00EC13C8"/>
    <w:rsid w:val="00EC1A8C"/>
    <w:rsid w:val="00EC1D05"/>
    <w:rsid w:val="00EC282A"/>
    <w:rsid w:val="00EC374C"/>
    <w:rsid w:val="00EC3CE7"/>
    <w:rsid w:val="00EC4085"/>
    <w:rsid w:val="00EC45CF"/>
    <w:rsid w:val="00EC47CA"/>
    <w:rsid w:val="00EC4E96"/>
    <w:rsid w:val="00EC5426"/>
    <w:rsid w:val="00EC56DC"/>
    <w:rsid w:val="00EC659E"/>
    <w:rsid w:val="00EC666A"/>
    <w:rsid w:val="00EC6DAC"/>
    <w:rsid w:val="00EC7019"/>
    <w:rsid w:val="00EC703C"/>
    <w:rsid w:val="00EC7713"/>
    <w:rsid w:val="00EC7EFC"/>
    <w:rsid w:val="00ED00A0"/>
    <w:rsid w:val="00ED0647"/>
    <w:rsid w:val="00ED0717"/>
    <w:rsid w:val="00ED0CE7"/>
    <w:rsid w:val="00ED0FD7"/>
    <w:rsid w:val="00ED11C1"/>
    <w:rsid w:val="00ED3042"/>
    <w:rsid w:val="00ED362C"/>
    <w:rsid w:val="00ED366B"/>
    <w:rsid w:val="00ED3D5F"/>
    <w:rsid w:val="00ED5DDA"/>
    <w:rsid w:val="00ED6543"/>
    <w:rsid w:val="00ED711D"/>
    <w:rsid w:val="00EE200F"/>
    <w:rsid w:val="00EE241E"/>
    <w:rsid w:val="00EE2EB9"/>
    <w:rsid w:val="00EE3395"/>
    <w:rsid w:val="00EE4A7E"/>
    <w:rsid w:val="00EE500B"/>
    <w:rsid w:val="00EE5212"/>
    <w:rsid w:val="00EE523D"/>
    <w:rsid w:val="00EE53B9"/>
    <w:rsid w:val="00EE6EA6"/>
    <w:rsid w:val="00EE7BE9"/>
    <w:rsid w:val="00EF0F49"/>
    <w:rsid w:val="00EF13F4"/>
    <w:rsid w:val="00EF2262"/>
    <w:rsid w:val="00EF24AF"/>
    <w:rsid w:val="00EF28F3"/>
    <w:rsid w:val="00EF31DE"/>
    <w:rsid w:val="00EF31E8"/>
    <w:rsid w:val="00EF3511"/>
    <w:rsid w:val="00EF46BC"/>
    <w:rsid w:val="00EF4765"/>
    <w:rsid w:val="00EF4B67"/>
    <w:rsid w:val="00EF5BBE"/>
    <w:rsid w:val="00EF6C11"/>
    <w:rsid w:val="00EF733B"/>
    <w:rsid w:val="00F00FD6"/>
    <w:rsid w:val="00F01A5D"/>
    <w:rsid w:val="00F01ECC"/>
    <w:rsid w:val="00F02CBF"/>
    <w:rsid w:val="00F02CDC"/>
    <w:rsid w:val="00F03560"/>
    <w:rsid w:val="00F035F1"/>
    <w:rsid w:val="00F037E2"/>
    <w:rsid w:val="00F03DE6"/>
    <w:rsid w:val="00F03F78"/>
    <w:rsid w:val="00F0477D"/>
    <w:rsid w:val="00F04B4E"/>
    <w:rsid w:val="00F05401"/>
    <w:rsid w:val="00F05911"/>
    <w:rsid w:val="00F06E87"/>
    <w:rsid w:val="00F07B2E"/>
    <w:rsid w:val="00F1042C"/>
    <w:rsid w:val="00F10C69"/>
    <w:rsid w:val="00F12CA7"/>
    <w:rsid w:val="00F153B5"/>
    <w:rsid w:val="00F15EE9"/>
    <w:rsid w:val="00F167D8"/>
    <w:rsid w:val="00F16CED"/>
    <w:rsid w:val="00F16EBA"/>
    <w:rsid w:val="00F170EB"/>
    <w:rsid w:val="00F17319"/>
    <w:rsid w:val="00F23437"/>
    <w:rsid w:val="00F23BCC"/>
    <w:rsid w:val="00F23D6C"/>
    <w:rsid w:val="00F246BA"/>
    <w:rsid w:val="00F24998"/>
    <w:rsid w:val="00F2569C"/>
    <w:rsid w:val="00F25929"/>
    <w:rsid w:val="00F26A84"/>
    <w:rsid w:val="00F27368"/>
    <w:rsid w:val="00F278AB"/>
    <w:rsid w:val="00F279C2"/>
    <w:rsid w:val="00F27CF6"/>
    <w:rsid w:val="00F27E13"/>
    <w:rsid w:val="00F30148"/>
    <w:rsid w:val="00F30E6F"/>
    <w:rsid w:val="00F31D66"/>
    <w:rsid w:val="00F323FF"/>
    <w:rsid w:val="00F3349C"/>
    <w:rsid w:val="00F3569B"/>
    <w:rsid w:val="00F35A2A"/>
    <w:rsid w:val="00F363EC"/>
    <w:rsid w:val="00F36A5A"/>
    <w:rsid w:val="00F37563"/>
    <w:rsid w:val="00F3760B"/>
    <w:rsid w:val="00F37CA4"/>
    <w:rsid w:val="00F405DF"/>
    <w:rsid w:val="00F4091C"/>
    <w:rsid w:val="00F40E9F"/>
    <w:rsid w:val="00F40FB7"/>
    <w:rsid w:val="00F413AC"/>
    <w:rsid w:val="00F4335D"/>
    <w:rsid w:val="00F446AD"/>
    <w:rsid w:val="00F44CDD"/>
    <w:rsid w:val="00F44EEC"/>
    <w:rsid w:val="00F450B1"/>
    <w:rsid w:val="00F45E71"/>
    <w:rsid w:val="00F46413"/>
    <w:rsid w:val="00F46482"/>
    <w:rsid w:val="00F474CA"/>
    <w:rsid w:val="00F47B00"/>
    <w:rsid w:val="00F47FD1"/>
    <w:rsid w:val="00F504A0"/>
    <w:rsid w:val="00F50B79"/>
    <w:rsid w:val="00F50DC9"/>
    <w:rsid w:val="00F50E25"/>
    <w:rsid w:val="00F51640"/>
    <w:rsid w:val="00F51B6F"/>
    <w:rsid w:val="00F51FA4"/>
    <w:rsid w:val="00F52E57"/>
    <w:rsid w:val="00F52EE1"/>
    <w:rsid w:val="00F52EE3"/>
    <w:rsid w:val="00F52F17"/>
    <w:rsid w:val="00F534C4"/>
    <w:rsid w:val="00F536B4"/>
    <w:rsid w:val="00F541DC"/>
    <w:rsid w:val="00F5440A"/>
    <w:rsid w:val="00F54473"/>
    <w:rsid w:val="00F552CB"/>
    <w:rsid w:val="00F5662A"/>
    <w:rsid w:val="00F60C57"/>
    <w:rsid w:val="00F6159C"/>
    <w:rsid w:val="00F618F2"/>
    <w:rsid w:val="00F61C43"/>
    <w:rsid w:val="00F6234E"/>
    <w:rsid w:val="00F62C5E"/>
    <w:rsid w:val="00F63638"/>
    <w:rsid w:val="00F640D8"/>
    <w:rsid w:val="00F647CD"/>
    <w:rsid w:val="00F661CD"/>
    <w:rsid w:val="00F66334"/>
    <w:rsid w:val="00F66416"/>
    <w:rsid w:val="00F700C1"/>
    <w:rsid w:val="00F7121B"/>
    <w:rsid w:val="00F71795"/>
    <w:rsid w:val="00F71854"/>
    <w:rsid w:val="00F725AB"/>
    <w:rsid w:val="00F72924"/>
    <w:rsid w:val="00F737DC"/>
    <w:rsid w:val="00F74D3A"/>
    <w:rsid w:val="00F7527F"/>
    <w:rsid w:val="00F75649"/>
    <w:rsid w:val="00F757B6"/>
    <w:rsid w:val="00F75C74"/>
    <w:rsid w:val="00F760FF"/>
    <w:rsid w:val="00F76A4D"/>
    <w:rsid w:val="00F76B37"/>
    <w:rsid w:val="00F7703F"/>
    <w:rsid w:val="00F77611"/>
    <w:rsid w:val="00F77A47"/>
    <w:rsid w:val="00F77A72"/>
    <w:rsid w:val="00F77F3E"/>
    <w:rsid w:val="00F811BD"/>
    <w:rsid w:val="00F814D0"/>
    <w:rsid w:val="00F82326"/>
    <w:rsid w:val="00F823FD"/>
    <w:rsid w:val="00F82960"/>
    <w:rsid w:val="00F82C08"/>
    <w:rsid w:val="00F82C1F"/>
    <w:rsid w:val="00F82D70"/>
    <w:rsid w:val="00F84285"/>
    <w:rsid w:val="00F84E73"/>
    <w:rsid w:val="00F850E6"/>
    <w:rsid w:val="00F85A11"/>
    <w:rsid w:val="00F86CBF"/>
    <w:rsid w:val="00F86EBE"/>
    <w:rsid w:val="00F87265"/>
    <w:rsid w:val="00F8792D"/>
    <w:rsid w:val="00F87A53"/>
    <w:rsid w:val="00F90A65"/>
    <w:rsid w:val="00F90BD8"/>
    <w:rsid w:val="00F91C37"/>
    <w:rsid w:val="00F921B9"/>
    <w:rsid w:val="00F939B0"/>
    <w:rsid w:val="00F93EE8"/>
    <w:rsid w:val="00F94DD4"/>
    <w:rsid w:val="00F952EF"/>
    <w:rsid w:val="00F954EC"/>
    <w:rsid w:val="00F9660A"/>
    <w:rsid w:val="00F96C76"/>
    <w:rsid w:val="00F96F5B"/>
    <w:rsid w:val="00F971B0"/>
    <w:rsid w:val="00F9795D"/>
    <w:rsid w:val="00F97CC6"/>
    <w:rsid w:val="00F97F1A"/>
    <w:rsid w:val="00FA034A"/>
    <w:rsid w:val="00FA114F"/>
    <w:rsid w:val="00FA1823"/>
    <w:rsid w:val="00FA19BF"/>
    <w:rsid w:val="00FA1A09"/>
    <w:rsid w:val="00FA1EA2"/>
    <w:rsid w:val="00FA2009"/>
    <w:rsid w:val="00FA2104"/>
    <w:rsid w:val="00FA2796"/>
    <w:rsid w:val="00FA2BD5"/>
    <w:rsid w:val="00FA2F57"/>
    <w:rsid w:val="00FA340B"/>
    <w:rsid w:val="00FA3D8C"/>
    <w:rsid w:val="00FA47BE"/>
    <w:rsid w:val="00FA4850"/>
    <w:rsid w:val="00FA4C86"/>
    <w:rsid w:val="00FA5766"/>
    <w:rsid w:val="00FA5A50"/>
    <w:rsid w:val="00FA5C8E"/>
    <w:rsid w:val="00FA5E4E"/>
    <w:rsid w:val="00FA691E"/>
    <w:rsid w:val="00FA693E"/>
    <w:rsid w:val="00FA6A3F"/>
    <w:rsid w:val="00FA6A48"/>
    <w:rsid w:val="00FA73B9"/>
    <w:rsid w:val="00FB0662"/>
    <w:rsid w:val="00FB0736"/>
    <w:rsid w:val="00FB0E36"/>
    <w:rsid w:val="00FB1639"/>
    <w:rsid w:val="00FB2373"/>
    <w:rsid w:val="00FB29DD"/>
    <w:rsid w:val="00FB2A3C"/>
    <w:rsid w:val="00FB35B7"/>
    <w:rsid w:val="00FB3ED4"/>
    <w:rsid w:val="00FB55EB"/>
    <w:rsid w:val="00FB5CD1"/>
    <w:rsid w:val="00FB5E11"/>
    <w:rsid w:val="00FB60AD"/>
    <w:rsid w:val="00FB6D76"/>
    <w:rsid w:val="00FB76BB"/>
    <w:rsid w:val="00FC06D8"/>
    <w:rsid w:val="00FC0A24"/>
    <w:rsid w:val="00FC0E2D"/>
    <w:rsid w:val="00FC16C5"/>
    <w:rsid w:val="00FC214E"/>
    <w:rsid w:val="00FC4AFB"/>
    <w:rsid w:val="00FC55A5"/>
    <w:rsid w:val="00FC5685"/>
    <w:rsid w:val="00FC6399"/>
    <w:rsid w:val="00FC65C8"/>
    <w:rsid w:val="00FC6AA2"/>
    <w:rsid w:val="00FC7284"/>
    <w:rsid w:val="00FC7D0E"/>
    <w:rsid w:val="00FD0118"/>
    <w:rsid w:val="00FD0493"/>
    <w:rsid w:val="00FD08B7"/>
    <w:rsid w:val="00FD1849"/>
    <w:rsid w:val="00FD2DFA"/>
    <w:rsid w:val="00FD364F"/>
    <w:rsid w:val="00FD3D3E"/>
    <w:rsid w:val="00FD48BC"/>
    <w:rsid w:val="00FD5883"/>
    <w:rsid w:val="00FD6735"/>
    <w:rsid w:val="00FD702D"/>
    <w:rsid w:val="00FD70A0"/>
    <w:rsid w:val="00FD7533"/>
    <w:rsid w:val="00FE014F"/>
    <w:rsid w:val="00FE1182"/>
    <w:rsid w:val="00FE133D"/>
    <w:rsid w:val="00FE1CF1"/>
    <w:rsid w:val="00FE1DC1"/>
    <w:rsid w:val="00FE1FD9"/>
    <w:rsid w:val="00FE28E5"/>
    <w:rsid w:val="00FE2BD2"/>
    <w:rsid w:val="00FE2C54"/>
    <w:rsid w:val="00FE3BA3"/>
    <w:rsid w:val="00FE4688"/>
    <w:rsid w:val="00FE4708"/>
    <w:rsid w:val="00FE4806"/>
    <w:rsid w:val="00FE4885"/>
    <w:rsid w:val="00FE4CBA"/>
    <w:rsid w:val="00FE5141"/>
    <w:rsid w:val="00FE5615"/>
    <w:rsid w:val="00FE56CD"/>
    <w:rsid w:val="00FE620C"/>
    <w:rsid w:val="00FE64EF"/>
    <w:rsid w:val="00FE6CC5"/>
    <w:rsid w:val="00FE725C"/>
    <w:rsid w:val="00FE7AE7"/>
    <w:rsid w:val="00FE7FE3"/>
    <w:rsid w:val="00FF0B02"/>
    <w:rsid w:val="00FF1309"/>
    <w:rsid w:val="00FF18EF"/>
    <w:rsid w:val="00FF1AA6"/>
    <w:rsid w:val="00FF1C34"/>
    <w:rsid w:val="00FF1FC1"/>
    <w:rsid w:val="00FF3727"/>
    <w:rsid w:val="00FF388A"/>
    <w:rsid w:val="00FF4AFC"/>
    <w:rsid w:val="00FF4DAB"/>
    <w:rsid w:val="00FF5373"/>
    <w:rsid w:val="00FF5734"/>
    <w:rsid w:val="00FF60C5"/>
    <w:rsid w:val="00FF6E32"/>
    <w:rsid w:val="00FF6F64"/>
    <w:rsid w:val="00FF7A6D"/>
    <w:rsid w:val="00FF7BE4"/>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1C390"/>
  <w15:chartTrackingRefBased/>
  <w15:docId w15:val="{8B9BB96F-15DE-4CBD-9280-E03E39E7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3" w:unhideWhenUsed="1" w:qFormat="1"/>
    <w:lsdException w:name="heading 3" w:semiHidden="1" w:uiPriority="5"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78B"/>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unhideWhenUsed/>
    <w:qFormat/>
    <w:rsid w:val="00EB69D3"/>
    <w:pPr>
      <w:spacing w:line="240" w:lineRule="auto"/>
    </w:pPr>
    <w:rPr>
      <w:sz w:val="22"/>
      <w:szCs w:val="20"/>
    </w:rPr>
  </w:style>
  <w:style w:type="character" w:customStyle="1" w:styleId="FootnoteTextChar">
    <w:name w:val="Footnote Text Char"/>
    <w:basedOn w:val="DefaultParagraphFont"/>
    <w:link w:val="FootnoteText"/>
    <w:uiPriority w:val="99"/>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AA0EEC"/>
    <w:rPr>
      <w:color w:val="5F5F5F" w:themeColor="hyperlink"/>
      <w:u w:val="single"/>
    </w:rPr>
  </w:style>
  <w:style w:type="character" w:customStyle="1" w:styleId="UnresolvedMention1">
    <w:name w:val="Unresolved Mention1"/>
    <w:basedOn w:val="DefaultParagraphFont"/>
    <w:uiPriority w:val="99"/>
    <w:semiHidden/>
    <w:unhideWhenUsed/>
    <w:rsid w:val="00AA0EEC"/>
    <w:rPr>
      <w:color w:val="605E5C"/>
      <w:shd w:val="clear" w:color="auto" w:fill="E1DFDD"/>
    </w:rPr>
  </w:style>
  <w:style w:type="character" w:customStyle="1" w:styleId="UnresolvedMention2">
    <w:name w:val="Unresolved Mention2"/>
    <w:basedOn w:val="DefaultParagraphFont"/>
    <w:uiPriority w:val="99"/>
    <w:semiHidden/>
    <w:unhideWhenUsed/>
    <w:rsid w:val="00433814"/>
    <w:rPr>
      <w:color w:val="605E5C"/>
      <w:shd w:val="clear" w:color="auto" w:fill="E1DFDD"/>
    </w:rPr>
  </w:style>
  <w:style w:type="character" w:styleId="FollowedHyperlink">
    <w:name w:val="FollowedHyperlink"/>
    <w:basedOn w:val="DefaultParagraphFont"/>
    <w:uiPriority w:val="99"/>
    <w:semiHidden/>
    <w:unhideWhenUsed/>
    <w:rsid w:val="004008F5"/>
    <w:rPr>
      <w:color w:val="6C6C6C" w:themeColor="followedHyperlink"/>
      <w:u w:val="single"/>
    </w:rPr>
  </w:style>
  <w:style w:type="character" w:customStyle="1" w:styleId="UnresolvedMention3">
    <w:name w:val="Unresolved Mention3"/>
    <w:basedOn w:val="DefaultParagraphFont"/>
    <w:uiPriority w:val="99"/>
    <w:semiHidden/>
    <w:unhideWhenUsed/>
    <w:rsid w:val="004C04AB"/>
    <w:rPr>
      <w:color w:val="605E5C"/>
      <w:shd w:val="clear" w:color="auto" w:fill="E1DFDD"/>
    </w:rPr>
  </w:style>
  <w:style w:type="character" w:customStyle="1" w:styleId="UnresolvedMention4">
    <w:name w:val="Unresolved Mention4"/>
    <w:basedOn w:val="DefaultParagraphFont"/>
    <w:uiPriority w:val="99"/>
    <w:semiHidden/>
    <w:unhideWhenUsed/>
    <w:rsid w:val="004F6013"/>
    <w:rPr>
      <w:color w:val="605E5C"/>
      <w:shd w:val="clear" w:color="auto" w:fill="E1DFDD"/>
    </w:rPr>
  </w:style>
  <w:style w:type="character" w:customStyle="1" w:styleId="UnresolvedMention5">
    <w:name w:val="Unresolved Mention5"/>
    <w:basedOn w:val="DefaultParagraphFont"/>
    <w:uiPriority w:val="99"/>
    <w:semiHidden/>
    <w:unhideWhenUsed/>
    <w:rsid w:val="00831FD5"/>
    <w:rPr>
      <w:color w:val="605E5C"/>
      <w:shd w:val="clear" w:color="auto" w:fill="E1DFDD"/>
    </w:rPr>
  </w:style>
  <w:style w:type="character" w:customStyle="1" w:styleId="UnresolvedMention6">
    <w:name w:val="Unresolved Mention6"/>
    <w:basedOn w:val="DefaultParagraphFont"/>
    <w:uiPriority w:val="99"/>
    <w:semiHidden/>
    <w:unhideWhenUsed/>
    <w:rsid w:val="00E95C1D"/>
    <w:rPr>
      <w:color w:val="605E5C"/>
      <w:shd w:val="clear" w:color="auto" w:fill="E1DFDD"/>
    </w:rPr>
  </w:style>
  <w:style w:type="character" w:customStyle="1" w:styleId="UnresolvedMention7">
    <w:name w:val="Unresolved Mention7"/>
    <w:basedOn w:val="DefaultParagraphFont"/>
    <w:uiPriority w:val="99"/>
    <w:semiHidden/>
    <w:unhideWhenUsed/>
    <w:rsid w:val="00EE7BE9"/>
    <w:rPr>
      <w:color w:val="605E5C"/>
      <w:shd w:val="clear" w:color="auto" w:fill="E1DFDD"/>
    </w:rPr>
  </w:style>
  <w:style w:type="character" w:customStyle="1" w:styleId="UnresolvedMention8">
    <w:name w:val="Unresolved Mention8"/>
    <w:basedOn w:val="DefaultParagraphFont"/>
    <w:uiPriority w:val="99"/>
    <w:semiHidden/>
    <w:unhideWhenUsed/>
    <w:rsid w:val="00194302"/>
    <w:rPr>
      <w:color w:val="605E5C"/>
      <w:shd w:val="clear" w:color="auto" w:fill="E1DFDD"/>
    </w:rPr>
  </w:style>
  <w:style w:type="character" w:customStyle="1" w:styleId="UnresolvedMention9">
    <w:name w:val="Unresolved Mention9"/>
    <w:basedOn w:val="DefaultParagraphFont"/>
    <w:uiPriority w:val="99"/>
    <w:semiHidden/>
    <w:unhideWhenUsed/>
    <w:rsid w:val="007C3100"/>
    <w:rPr>
      <w:color w:val="605E5C"/>
      <w:shd w:val="clear" w:color="auto" w:fill="E1DFDD"/>
    </w:rPr>
  </w:style>
  <w:style w:type="character" w:customStyle="1" w:styleId="UnresolvedMention10">
    <w:name w:val="Unresolved Mention10"/>
    <w:basedOn w:val="DefaultParagraphFont"/>
    <w:uiPriority w:val="99"/>
    <w:semiHidden/>
    <w:unhideWhenUsed/>
    <w:rsid w:val="0023772C"/>
    <w:rPr>
      <w:color w:val="605E5C"/>
      <w:shd w:val="clear" w:color="auto" w:fill="E1DFDD"/>
    </w:rPr>
  </w:style>
  <w:style w:type="character" w:customStyle="1" w:styleId="UnresolvedMention11">
    <w:name w:val="Unresolved Mention11"/>
    <w:basedOn w:val="DefaultParagraphFont"/>
    <w:uiPriority w:val="99"/>
    <w:semiHidden/>
    <w:unhideWhenUsed/>
    <w:rsid w:val="00451FEC"/>
    <w:rPr>
      <w:color w:val="605E5C"/>
      <w:shd w:val="clear" w:color="auto" w:fill="E1DFDD"/>
    </w:rPr>
  </w:style>
  <w:style w:type="character" w:customStyle="1" w:styleId="UnresolvedMention12">
    <w:name w:val="Unresolved Mention12"/>
    <w:basedOn w:val="DefaultParagraphFont"/>
    <w:uiPriority w:val="99"/>
    <w:semiHidden/>
    <w:unhideWhenUsed/>
    <w:rsid w:val="00D326F5"/>
    <w:rPr>
      <w:color w:val="605E5C"/>
      <w:shd w:val="clear" w:color="auto" w:fill="E1DFDD"/>
    </w:rPr>
  </w:style>
  <w:style w:type="table" w:customStyle="1" w:styleId="TableGrid1">
    <w:name w:val="Table Grid1"/>
    <w:basedOn w:val="TableNormal"/>
    <w:next w:val="TableGrid"/>
    <w:uiPriority w:val="39"/>
    <w:rsid w:val="00B57EF7"/>
    <w:pPr>
      <w:spacing w:line="240" w:lineRule="auto"/>
      <w:ind w:firstLine="0"/>
    </w:pPr>
    <w:rPr>
      <w:rFonts w:eastAsia="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7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895">
      <w:bodyDiv w:val="1"/>
      <w:marLeft w:val="0"/>
      <w:marRight w:val="0"/>
      <w:marTop w:val="0"/>
      <w:marBottom w:val="0"/>
      <w:divBdr>
        <w:top w:val="none" w:sz="0" w:space="0" w:color="auto"/>
        <w:left w:val="none" w:sz="0" w:space="0" w:color="auto"/>
        <w:bottom w:val="none" w:sz="0" w:space="0" w:color="auto"/>
        <w:right w:val="none" w:sz="0" w:space="0" w:color="auto"/>
      </w:divBdr>
    </w:div>
    <w:div w:id="55014740">
      <w:bodyDiv w:val="1"/>
      <w:marLeft w:val="0"/>
      <w:marRight w:val="0"/>
      <w:marTop w:val="0"/>
      <w:marBottom w:val="0"/>
      <w:divBdr>
        <w:top w:val="none" w:sz="0" w:space="0" w:color="auto"/>
        <w:left w:val="none" w:sz="0" w:space="0" w:color="auto"/>
        <w:bottom w:val="none" w:sz="0" w:space="0" w:color="auto"/>
        <w:right w:val="none" w:sz="0" w:space="0" w:color="auto"/>
      </w:divBdr>
      <w:divsChild>
        <w:div w:id="553084461">
          <w:marLeft w:val="0"/>
          <w:marRight w:val="0"/>
          <w:marTop w:val="0"/>
          <w:marBottom w:val="0"/>
          <w:divBdr>
            <w:top w:val="none" w:sz="0" w:space="0" w:color="auto"/>
            <w:left w:val="none" w:sz="0" w:space="0" w:color="auto"/>
            <w:bottom w:val="none" w:sz="0" w:space="0" w:color="auto"/>
            <w:right w:val="none" w:sz="0" w:space="0" w:color="auto"/>
          </w:divBdr>
        </w:div>
        <w:div w:id="597830987">
          <w:marLeft w:val="0"/>
          <w:marRight w:val="0"/>
          <w:marTop w:val="0"/>
          <w:marBottom w:val="0"/>
          <w:divBdr>
            <w:top w:val="none" w:sz="0" w:space="0" w:color="auto"/>
            <w:left w:val="none" w:sz="0" w:space="0" w:color="auto"/>
            <w:bottom w:val="none" w:sz="0" w:space="0" w:color="auto"/>
            <w:right w:val="none" w:sz="0" w:space="0" w:color="auto"/>
          </w:divBdr>
        </w:div>
        <w:div w:id="1002398028">
          <w:marLeft w:val="0"/>
          <w:marRight w:val="0"/>
          <w:marTop w:val="0"/>
          <w:marBottom w:val="0"/>
          <w:divBdr>
            <w:top w:val="none" w:sz="0" w:space="0" w:color="auto"/>
            <w:left w:val="none" w:sz="0" w:space="0" w:color="auto"/>
            <w:bottom w:val="none" w:sz="0" w:space="0" w:color="auto"/>
            <w:right w:val="none" w:sz="0" w:space="0" w:color="auto"/>
          </w:divBdr>
        </w:div>
        <w:div w:id="1127813493">
          <w:marLeft w:val="0"/>
          <w:marRight w:val="0"/>
          <w:marTop w:val="0"/>
          <w:marBottom w:val="0"/>
          <w:divBdr>
            <w:top w:val="none" w:sz="0" w:space="0" w:color="auto"/>
            <w:left w:val="none" w:sz="0" w:space="0" w:color="auto"/>
            <w:bottom w:val="none" w:sz="0" w:space="0" w:color="auto"/>
            <w:right w:val="none" w:sz="0" w:space="0" w:color="auto"/>
          </w:divBdr>
        </w:div>
        <w:div w:id="1209680670">
          <w:marLeft w:val="0"/>
          <w:marRight w:val="0"/>
          <w:marTop w:val="0"/>
          <w:marBottom w:val="0"/>
          <w:divBdr>
            <w:top w:val="none" w:sz="0" w:space="0" w:color="auto"/>
            <w:left w:val="none" w:sz="0" w:space="0" w:color="auto"/>
            <w:bottom w:val="none" w:sz="0" w:space="0" w:color="auto"/>
            <w:right w:val="none" w:sz="0" w:space="0" w:color="auto"/>
          </w:divBdr>
        </w:div>
        <w:div w:id="1794522254">
          <w:marLeft w:val="0"/>
          <w:marRight w:val="0"/>
          <w:marTop w:val="0"/>
          <w:marBottom w:val="0"/>
          <w:divBdr>
            <w:top w:val="none" w:sz="0" w:space="0" w:color="auto"/>
            <w:left w:val="none" w:sz="0" w:space="0" w:color="auto"/>
            <w:bottom w:val="none" w:sz="0" w:space="0" w:color="auto"/>
            <w:right w:val="none" w:sz="0" w:space="0" w:color="auto"/>
          </w:divBdr>
        </w:div>
      </w:divsChild>
    </w:div>
    <w:div w:id="100994530">
      <w:bodyDiv w:val="1"/>
      <w:marLeft w:val="0"/>
      <w:marRight w:val="0"/>
      <w:marTop w:val="0"/>
      <w:marBottom w:val="0"/>
      <w:divBdr>
        <w:top w:val="none" w:sz="0" w:space="0" w:color="auto"/>
        <w:left w:val="none" w:sz="0" w:space="0" w:color="auto"/>
        <w:bottom w:val="none" w:sz="0" w:space="0" w:color="auto"/>
        <w:right w:val="none" w:sz="0" w:space="0" w:color="auto"/>
      </w:divBdr>
      <w:divsChild>
        <w:div w:id="13074041">
          <w:marLeft w:val="0"/>
          <w:marRight w:val="0"/>
          <w:marTop w:val="0"/>
          <w:marBottom w:val="0"/>
          <w:divBdr>
            <w:top w:val="none" w:sz="0" w:space="0" w:color="auto"/>
            <w:left w:val="none" w:sz="0" w:space="0" w:color="auto"/>
            <w:bottom w:val="none" w:sz="0" w:space="0" w:color="auto"/>
            <w:right w:val="none" w:sz="0" w:space="0" w:color="auto"/>
          </w:divBdr>
        </w:div>
        <w:div w:id="52509341">
          <w:marLeft w:val="0"/>
          <w:marRight w:val="0"/>
          <w:marTop w:val="0"/>
          <w:marBottom w:val="0"/>
          <w:divBdr>
            <w:top w:val="none" w:sz="0" w:space="0" w:color="auto"/>
            <w:left w:val="none" w:sz="0" w:space="0" w:color="auto"/>
            <w:bottom w:val="none" w:sz="0" w:space="0" w:color="auto"/>
            <w:right w:val="none" w:sz="0" w:space="0" w:color="auto"/>
          </w:divBdr>
        </w:div>
        <w:div w:id="66151414">
          <w:marLeft w:val="0"/>
          <w:marRight w:val="0"/>
          <w:marTop w:val="0"/>
          <w:marBottom w:val="0"/>
          <w:divBdr>
            <w:top w:val="none" w:sz="0" w:space="0" w:color="auto"/>
            <w:left w:val="none" w:sz="0" w:space="0" w:color="auto"/>
            <w:bottom w:val="none" w:sz="0" w:space="0" w:color="auto"/>
            <w:right w:val="none" w:sz="0" w:space="0" w:color="auto"/>
          </w:divBdr>
        </w:div>
        <w:div w:id="127213407">
          <w:marLeft w:val="0"/>
          <w:marRight w:val="0"/>
          <w:marTop w:val="0"/>
          <w:marBottom w:val="0"/>
          <w:divBdr>
            <w:top w:val="none" w:sz="0" w:space="0" w:color="auto"/>
            <w:left w:val="none" w:sz="0" w:space="0" w:color="auto"/>
            <w:bottom w:val="none" w:sz="0" w:space="0" w:color="auto"/>
            <w:right w:val="none" w:sz="0" w:space="0" w:color="auto"/>
          </w:divBdr>
        </w:div>
        <w:div w:id="138810394">
          <w:marLeft w:val="0"/>
          <w:marRight w:val="0"/>
          <w:marTop w:val="0"/>
          <w:marBottom w:val="0"/>
          <w:divBdr>
            <w:top w:val="none" w:sz="0" w:space="0" w:color="auto"/>
            <w:left w:val="none" w:sz="0" w:space="0" w:color="auto"/>
            <w:bottom w:val="none" w:sz="0" w:space="0" w:color="auto"/>
            <w:right w:val="none" w:sz="0" w:space="0" w:color="auto"/>
          </w:divBdr>
        </w:div>
        <w:div w:id="297348142">
          <w:marLeft w:val="0"/>
          <w:marRight w:val="0"/>
          <w:marTop w:val="0"/>
          <w:marBottom w:val="0"/>
          <w:divBdr>
            <w:top w:val="none" w:sz="0" w:space="0" w:color="auto"/>
            <w:left w:val="none" w:sz="0" w:space="0" w:color="auto"/>
            <w:bottom w:val="none" w:sz="0" w:space="0" w:color="auto"/>
            <w:right w:val="none" w:sz="0" w:space="0" w:color="auto"/>
          </w:divBdr>
        </w:div>
        <w:div w:id="306593891">
          <w:marLeft w:val="0"/>
          <w:marRight w:val="0"/>
          <w:marTop w:val="0"/>
          <w:marBottom w:val="0"/>
          <w:divBdr>
            <w:top w:val="none" w:sz="0" w:space="0" w:color="auto"/>
            <w:left w:val="none" w:sz="0" w:space="0" w:color="auto"/>
            <w:bottom w:val="none" w:sz="0" w:space="0" w:color="auto"/>
            <w:right w:val="none" w:sz="0" w:space="0" w:color="auto"/>
          </w:divBdr>
        </w:div>
        <w:div w:id="616303697">
          <w:marLeft w:val="0"/>
          <w:marRight w:val="0"/>
          <w:marTop w:val="0"/>
          <w:marBottom w:val="0"/>
          <w:divBdr>
            <w:top w:val="none" w:sz="0" w:space="0" w:color="auto"/>
            <w:left w:val="none" w:sz="0" w:space="0" w:color="auto"/>
            <w:bottom w:val="none" w:sz="0" w:space="0" w:color="auto"/>
            <w:right w:val="none" w:sz="0" w:space="0" w:color="auto"/>
          </w:divBdr>
        </w:div>
        <w:div w:id="730621282">
          <w:marLeft w:val="0"/>
          <w:marRight w:val="0"/>
          <w:marTop w:val="0"/>
          <w:marBottom w:val="0"/>
          <w:divBdr>
            <w:top w:val="none" w:sz="0" w:space="0" w:color="auto"/>
            <w:left w:val="none" w:sz="0" w:space="0" w:color="auto"/>
            <w:bottom w:val="none" w:sz="0" w:space="0" w:color="auto"/>
            <w:right w:val="none" w:sz="0" w:space="0" w:color="auto"/>
          </w:divBdr>
        </w:div>
        <w:div w:id="1074356227">
          <w:marLeft w:val="0"/>
          <w:marRight w:val="0"/>
          <w:marTop w:val="0"/>
          <w:marBottom w:val="0"/>
          <w:divBdr>
            <w:top w:val="none" w:sz="0" w:space="0" w:color="auto"/>
            <w:left w:val="none" w:sz="0" w:space="0" w:color="auto"/>
            <w:bottom w:val="none" w:sz="0" w:space="0" w:color="auto"/>
            <w:right w:val="none" w:sz="0" w:space="0" w:color="auto"/>
          </w:divBdr>
        </w:div>
        <w:div w:id="2078702237">
          <w:marLeft w:val="0"/>
          <w:marRight w:val="0"/>
          <w:marTop w:val="0"/>
          <w:marBottom w:val="0"/>
          <w:divBdr>
            <w:top w:val="none" w:sz="0" w:space="0" w:color="auto"/>
            <w:left w:val="none" w:sz="0" w:space="0" w:color="auto"/>
            <w:bottom w:val="none" w:sz="0" w:space="0" w:color="auto"/>
            <w:right w:val="none" w:sz="0" w:space="0" w:color="auto"/>
          </w:divBdr>
        </w:div>
      </w:divsChild>
    </w:div>
    <w:div w:id="112948229">
      <w:bodyDiv w:val="1"/>
      <w:marLeft w:val="0"/>
      <w:marRight w:val="0"/>
      <w:marTop w:val="0"/>
      <w:marBottom w:val="0"/>
      <w:divBdr>
        <w:top w:val="none" w:sz="0" w:space="0" w:color="auto"/>
        <w:left w:val="none" w:sz="0" w:space="0" w:color="auto"/>
        <w:bottom w:val="none" w:sz="0" w:space="0" w:color="auto"/>
        <w:right w:val="none" w:sz="0" w:space="0" w:color="auto"/>
      </w:divBdr>
    </w:div>
    <w:div w:id="128713005">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3253639">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5488338">
      <w:bodyDiv w:val="1"/>
      <w:marLeft w:val="0"/>
      <w:marRight w:val="0"/>
      <w:marTop w:val="0"/>
      <w:marBottom w:val="0"/>
      <w:divBdr>
        <w:top w:val="none" w:sz="0" w:space="0" w:color="auto"/>
        <w:left w:val="none" w:sz="0" w:space="0" w:color="auto"/>
        <w:bottom w:val="none" w:sz="0" w:space="0" w:color="auto"/>
        <w:right w:val="none" w:sz="0" w:space="0" w:color="auto"/>
      </w:divBdr>
      <w:divsChild>
        <w:div w:id="785589119">
          <w:marLeft w:val="0"/>
          <w:marRight w:val="0"/>
          <w:marTop w:val="0"/>
          <w:marBottom w:val="0"/>
          <w:divBdr>
            <w:top w:val="none" w:sz="0" w:space="0" w:color="auto"/>
            <w:left w:val="none" w:sz="0" w:space="0" w:color="auto"/>
            <w:bottom w:val="none" w:sz="0" w:space="0" w:color="auto"/>
            <w:right w:val="none" w:sz="0" w:space="0" w:color="auto"/>
          </w:divBdr>
        </w:div>
        <w:div w:id="1584147639">
          <w:marLeft w:val="0"/>
          <w:marRight w:val="0"/>
          <w:marTop w:val="0"/>
          <w:marBottom w:val="0"/>
          <w:divBdr>
            <w:top w:val="none" w:sz="0" w:space="0" w:color="auto"/>
            <w:left w:val="none" w:sz="0" w:space="0" w:color="auto"/>
            <w:bottom w:val="none" w:sz="0" w:space="0" w:color="auto"/>
            <w:right w:val="none" w:sz="0" w:space="0" w:color="auto"/>
          </w:divBdr>
        </w:div>
      </w:divsChild>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1307280">
      <w:bodyDiv w:val="1"/>
      <w:marLeft w:val="0"/>
      <w:marRight w:val="0"/>
      <w:marTop w:val="0"/>
      <w:marBottom w:val="0"/>
      <w:divBdr>
        <w:top w:val="none" w:sz="0" w:space="0" w:color="auto"/>
        <w:left w:val="none" w:sz="0" w:space="0" w:color="auto"/>
        <w:bottom w:val="none" w:sz="0" w:space="0" w:color="auto"/>
        <w:right w:val="none" w:sz="0" w:space="0" w:color="auto"/>
      </w:divBdr>
      <w:divsChild>
        <w:div w:id="609166814">
          <w:marLeft w:val="0"/>
          <w:marRight w:val="0"/>
          <w:marTop w:val="0"/>
          <w:marBottom w:val="0"/>
          <w:divBdr>
            <w:top w:val="none" w:sz="0" w:space="0" w:color="auto"/>
            <w:left w:val="none" w:sz="0" w:space="0" w:color="auto"/>
            <w:bottom w:val="none" w:sz="0" w:space="0" w:color="auto"/>
            <w:right w:val="none" w:sz="0" w:space="0" w:color="auto"/>
          </w:divBdr>
        </w:div>
        <w:div w:id="732511227">
          <w:marLeft w:val="0"/>
          <w:marRight w:val="0"/>
          <w:marTop w:val="0"/>
          <w:marBottom w:val="0"/>
          <w:divBdr>
            <w:top w:val="none" w:sz="0" w:space="0" w:color="auto"/>
            <w:left w:val="none" w:sz="0" w:space="0" w:color="auto"/>
            <w:bottom w:val="none" w:sz="0" w:space="0" w:color="auto"/>
            <w:right w:val="none" w:sz="0" w:space="0" w:color="auto"/>
          </w:divBdr>
        </w:div>
        <w:div w:id="1070230346">
          <w:marLeft w:val="0"/>
          <w:marRight w:val="0"/>
          <w:marTop w:val="0"/>
          <w:marBottom w:val="0"/>
          <w:divBdr>
            <w:top w:val="none" w:sz="0" w:space="0" w:color="auto"/>
            <w:left w:val="none" w:sz="0" w:space="0" w:color="auto"/>
            <w:bottom w:val="none" w:sz="0" w:space="0" w:color="auto"/>
            <w:right w:val="none" w:sz="0" w:space="0" w:color="auto"/>
          </w:divBdr>
        </w:div>
        <w:div w:id="1314217056">
          <w:marLeft w:val="0"/>
          <w:marRight w:val="0"/>
          <w:marTop w:val="0"/>
          <w:marBottom w:val="0"/>
          <w:divBdr>
            <w:top w:val="none" w:sz="0" w:space="0" w:color="auto"/>
            <w:left w:val="none" w:sz="0" w:space="0" w:color="auto"/>
            <w:bottom w:val="none" w:sz="0" w:space="0" w:color="auto"/>
            <w:right w:val="none" w:sz="0" w:space="0" w:color="auto"/>
          </w:divBdr>
        </w:div>
        <w:div w:id="1922791781">
          <w:marLeft w:val="0"/>
          <w:marRight w:val="0"/>
          <w:marTop w:val="0"/>
          <w:marBottom w:val="0"/>
          <w:divBdr>
            <w:top w:val="none" w:sz="0" w:space="0" w:color="auto"/>
            <w:left w:val="none" w:sz="0" w:space="0" w:color="auto"/>
            <w:bottom w:val="none" w:sz="0" w:space="0" w:color="auto"/>
            <w:right w:val="none" w:sz="0" w:space="0" w:color="auto"/>
          </w:divBdr>
        </w:div>
      </w:divsChild>
    </w:div>
    <w:div w:id="288047312">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45057444">
      <w:bodyDiv w:val="1"/>
      <w:marLeft w:val="0"/>
      <w:marRight w:val="0"/>
      <w:marTop w:val="0"/>
      <w:marBottom w:val="0"/>
      <w:divBdr>
        <w:top w:val="none" w:sz="0" w:space="0" w:color="auto"/>
        <w:left w:val="none" w:sz="0" w:space="0" w:color="auto"/>
        <w:bottom w:val="none" w:sz="0" w:space="0" w:color="auto"/>
        <w:right w:val="none" w:sz="0" w:space="0" w:color="auto"/>
      </w:divBdr>
    </w:div>
    <w:div w:id="362486726">
      <w:bodyDiv w:val="1"/>
      <w:marLeft w:val="0"/>
      <w:marRight w:val="0"/>
      <w:marTop w:val="0"/>
      <w:marBottom w:val="0"/>
      <w:divBdr>
        <w:top w:val="none" w:sz="0" w:space="0" w:color="auto"/>
        <w:left w:val="none" w:sz="0" w:space="0" w:color="auto"/>
        <w:bottom w:val="none" w:sz="0" w:space="0" w:color="auto"/>
        <w:right w:val="none" w:sz="0" w:space="0" w:color="auto"/>
      </w:divBdr>
      <w:divsChild>
        <w:div w:id="228662548">
          <w:marLeft w:val="0"/>
          <w:marRight w:val="0"/>
          <w:marTop w:val="0"/>
          <w:marBottom w:val="0"/>
          <w:divBdr>
            <w:top w:val="none" w:sz="0" w:space="0" w:color="auto"/>
            <w:left w:val="none" w:sz="0" w:space="0" w:color="auto"/>
            <w:bottom w:val="none" w:sz="0" w:space="0" w:color="auto"/>
            <w:right w:val="none" w:sz="0" w:space="0" w:color="auto"/>
          </w:divBdr>
        </w:div>
        <w:div w:id="1117914643">
          <w:marLeft w:val="0"/>
          <w:marRight w:val="0"/>
          <w:marTop w:val="0"/>
          <w:marBottom w:val="0"/>
          <w:divBdr>
            <w:top w:val="none" w:sz="0" w:space="0" w:color="auto"/>
            <w:left w:val="none" w:sz="0" w:space="0" w:color="auto"/>
            <w:bottom w:val="none" w:sz="0" w:space="0" w:color="auto"/>
            <w:right w:val="none" w:sz="0" w:space="0" w:color="auto"/>
          </w:divBdr>
        </w:div>
      </w:divsChild>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110053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97424032">
      <w:bodyDiv w:val="1"/>
      <w:marLeft w:val="0"/>
      <w:marRight w:val="0"/>
      <w:marTop w:val="0"/>
      <w:marBottom w:val="0"/>
      <w:divBdr>
        <w:top w:val="none" w:sz="0" w:space="0" w:color="auto"/>
        <w:left w:val="none" w:sz="0" w:space="0" w:color="auto"/>
        <w:bottom w:val="none" w:sz="0" w:space="0" w:color="auto"/>
        <w:right w:val="none" w:sz="0" w:space="0" w:color="auto"/>
      </w:divBdr>
    </w:div>
    <w:div w:id="553928728">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9834828">
      <w:bodyDiv w:val="1"/>
      <w:marLeft w:val="0"/>
      <w:marRight w:val="0"/>
      <w:marTop w:val="0"/>
      <w:marBottom w:val="0"/>
      <w:divBdr>
        <w:top w:val="none" w:sz="0" w:space="0" w:color="auto"/>
        <w:left w:val="none" w:sz="0" w:space="0" w:color="auto"/>
        <w:bottom w:val="none" w:sz="0" w:space="0" w:color="auto"/>
        <w:right w:val="none" w:sz="0" w:space="0" w:color="auto"/>
      </w:divBdr>
    </w:div>
    <w:div w:id="738216054">
      <w:bodyDiv w:val="1"/>
      <w:marLeft w:val="0"/>
      <w:marRight w:val="0"/>
      <w:marTop w:val="0"/>
      <w:marBottom w:val="0"/>
      <w:divBdr>
        <w:top w:val="none" w:sz="0" w:space="0" w:color="auto"/>
        <w:left w:val="none" w:sz="0" w:space="0" w:color="auto"/>
        <w:bottom w:val="none" w:sz="0" w:space="0" w:color="auto"/>
        <w:right w:val="none" w:sz="0" w:space="0" w:color="auto"/>
      </w:divBdr>
    </w:div>
    <w:div w:id="762608542">
      <w:bodyDiv w:val="1"/>
      <w:marLeft w:val="0"/>
      <w:marRight w:val="0"/>
      <w:marTop w:val="0"/>
      <w:marBottom w:val="0"/>
      <w:divBdr>
        <w:top w:val="none" w:sz="0" w:space="0" w:color="auto"/>
        <w:left w:val="none" w:sz="0" w:space="0" w:color="auto"/>
        <w:bottom w:val="none" w:sz="0" w:space="0" w:color="auto"/>
        <w:right w:val="none" w:sz="0" w:space="0" w:color="auto"/>
      </w:divBdr>
      <w:divsChild>
        <w:div w:id="264198018">
          <w:marLeft w:val="0"/>
          <w:marRight w:val="0"/>
          <w:marTop w:val="0"/>
          <w:marBottom w:val="0"/>
          <w:divBdr>
            <w:top w:val="none" w:sz="0" w:space="0" w:color="auto"/>
            <w:left w:val="none" w:sz="0" w:space="0" w:color="auto"/>
            <w:bottom w:val="none" w:sz="0" w:space="0" w:color="auto"/>
            <w:right w:val="none" w:sz="0" w:space="0" w:color="auto"/>
          </w:divBdr>
        </w:div>
        <w:div w:id="1061947520">
          <w:marLeft w:val="0"/>
          <w:marRight w:val="0"/>
          <w:marTop w:val="0"/>
          <w:marBottom w:val="0"/>
          <w:divBdr>
            <w:top w:val="none" w:sz="0" w:space="0" w:color="auto"/>
            <w:left w:val="none" w:sz="0" w:space="0" w:color="auto"/>
            <w:bottom w:val="none" w:sz="0" w:space="0" w:color="auto"/>
            <w:right w:val="none" w:sz="0" w:space="0" w:color="auto"/>
          </w:divBdr>
        </w:div>
      </w:divsChild>
    </w:div>
    <w:div w:id="812985312">
      <w:bodyDiv w:val="1"/>
      <w:marLeft w:val="0"/>
      <w:marRight w:val="0"/>
      <w:marTop w:val="0"/>
      <w:marBottom w:val="0"/>
      <w:divBdr>
        <w:top w:val="none" w:sz="0" w:space="0" w:color="auto"/>
        <w:left w:val="none" w:sz="0" w:space="0" w:color="auto"/>
        <w:bottom w:val="none" w:sz="0" w:space="0" w:color="auto"/>
        <w:right w:val="none" w:sz="0" w:space="0" w:color="auto"/>
      </w:divBdr>
      <w:divsChild>
        <w:div w:id="485124580">
          <w:marLeft w:val="0"/>
          <w:marRight w:val="0"/>
          <w:marTop w:val="0"/>
          <w:marBottom w:val="0"/>
          <w:divBdr>
            <w:top w:val="none" w:sz="0" w:space="0" w:color="auto"/>
            <w:left w:val="none" w:sz="0" w:space="0" w:color="auto"/>
            <w:bottom w:val="none" w:sz="0" w:space="0" w:color="auto"/>
            <w:right w:val="none" w:sz="0" w:space="0" w:color="auto"/>
          </w:divBdr>
        </w:div>
        <w:div w:id="709262369">
          <w:marLeft w:val="0"/>
          <w:marRight w:val="0"/>
          <w:marTop w:val="0"/>
          <w:marBottom w:val="0"/>
          <w:divBdr>
            <w:top w:val="none" w:sz="0" w:space="0" w:color="auto"/>
            <w:left w:val="none" w:sz="0" w:space="0" w:color="auto"/>
            <w:bottom w:val="none" w:sz="0" w:space="0" w:color="auto"/>
            <w:right w:val="none" w:sz="0" w:space="0" w:color="auto"/>
          </w:divBdr>
        </w:div>
        <w:div w:id="733088413">
          <w:marLeft w:val="0"/>
          <w:marRight w:val="0"/>
          <w:marTop w:val="0"/>
          <w:marBottom w:val="0"/>
          <w:divBdr>
            <w:top w:val="none" w:sz="0" w:space="0" w:color="auto"/>
            <w:left w:val="none" w:sz="0" w:space="0" w:color="auto"/>
            <w:bottom w:val="none" w:sz="0" w:space="0" w:color="auto"/>
            <w:right w:val="none" w:sz="0" w:space="0" w:color="auto"/>
          </w:divBdr>
        </w:div>
        <w:div w:id="1791968919">
          <w:marLeft w:val="0"/>
          <w:marRight w:val="0"/>
          <w:marTop w:val="0"/>
          <w:marBottom w:val="0"/>
          <w:divBdr>
            <w:top w:val="none" w:sz="0" w:space="0" w:color="auto"/>
            <w:left w:val="none" w:sz="0" w:space="0" w:color="auto"/>
            <w:bottom w:val="none" w:sz="0" w:space="0" w:color="auto"/>
            <w:right w:val="none" w:sz="0" w:space="0" w:color="auto"/>
          </w:divBdr>
        </w:div>
      </w:divsChild>
    </w:div>
    <w:div w:id="829640887">
      <w:bodyDiv w:val="1"/>
      <w:marLeft w:val="0"/>
      <w:marRight w:val="0"/>
      <w:marTop w:val="0"/>
      <w:marBottom w:val="0"/>
      <w:divBdr>
        <w:top w:val="none" w:sz="0" w:space="0" w:color="auto"/>
        <w:left w:val="none" w:sz="0" w:space="0" w:color="auto"/>
        <w:bottom w:val="none" w:sz="0" w:space="0" w:color="auto"/>
        <w:right w:val="none" w:sz="0" w:space="0" w:color="auto"/>
      </w:divBdr>
    </w:div>
    <w:div w:id="894200526">
      <w:bodyDiv w:val="1"/>
      <w:marLeft w:val="0"/>
      <w:marRight w:val="0"/>
      <w:marTop w:val="0"/>
      <w:marBottom w:val="0"/>
      <w:divBdr>
        <w:top w:val="none" w:sz="0" w:space="0" w:color="auto"/>
        <w:left w:val="none" w:sz="0" w:space="0" w:color="auto"/>
        <w:bottom w:val="none" w:sz="0" w:space="0" w:color="auto"/>
        <w:right w:val="none" w:sz="0" w:space="0" w:color="auto"/>
      </w:divBdr>
    </w:div>
    <w:div w:id="969016162">
      <w:bodyDiv w:val="1"/>
      <w:marLeft w:val="0"/>
      <w:marRight w:val="0"/>
      <w:marTop w:val="0"/>
      <w:marBottom w:val="0"/>
      <w:divBdr>
        <w:top w:val="none" w:sz="0" w:space="0" w:color="auto"/>
        <w:left w:val="none" w:sz="0" w:space="0" w:color="auto"/>
        <w:bottom w:val="none" w:sz="0" w:space="0" w:color="auto"/>
        <w:right w:val="none" w:sz="0" w:space="0" w:color="auto"/>
      </w:divBdr>
    </w:div>
    <w:div w:id="102493998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45659504">
      <w:bodyDiv w:val="1"/>
      <w:marLeft w:val="0"/>
      <w:marRight w:val="0"/>
      <w:marTop w:val="0"/>
      <w:marBottom w:val="0"/>
      <w:divBdr>
        <w:top w:val="none" w:sz="0" w:space="0" w:color="auto"/>
        <w:left w:val="none" w:sz="0" w:space="0" w:color="auto"/>
        <w:bottom w:val="none" w:sz="0" w:space="0" w:color="auto"/>
        <w:right w:val="none" w:sz="0" w:space="0" w:color="auto"/>
      </w:divBdr>
      <w:divsChild>
        <w:div w:id="103693676">
          <w:marLeft w:val="0"/>
          <w:marRight w:val="0"/>
          <w:marTop w:val="0"/>
          <w:marBottom w:val="0"/>
          <w:divBdr>
            <w:top w:val="none" w:sz="0" w:space="0" w:color="auto"/>
            <w:left w:val="none" w:sz="0" w:space="0" w:color="auto"/>
            <w:bottom w:val="none" w:sz="0" w:space="0" w:color="auto"/>
            <w:right w:val="none" w:sz="0" w:space="0" w:color="auto"/>
          </w:divBdr>
        </w:div>
        <w:div w:id="160047594">
          <w:marLeft w:val="0"/>
          <w:marRight w:val="0"/>
          <w:marTop w:val="0"/>
          <w:marBottom w:val="0"/>
          <w:divBdr>
            <w:top w:val="none" w:sz="0" w:space="0" w:color="auto"/>
            <w:left w:val="none" w:sz="0" w:space="0" w:color="auto"/>
            <w:bottom w:val="none" w:sz="0" w:space="0" w:color="auto"/>
            <w:right w:val="none" w:sz="0" w:space="0" w:color="auto"/>
          </w:divBdr>
        </w:div>
        <w:div w:id="236549599">
          <w:marLeft w:val="0"/>
          <w:marRight w:val="0"/>
          <w:marTop w:val="0"/>
          <w:marBottom w:val="0"/>
          <w:divBdr>
            <w:top w:val="none" w:sz="0" w:space="0" w:color="auto"/>
            <w:left w:val="none" w:sz="0" w:space="0" w:color="auto"/>
            <w:bottom w:val="none" w:sz="0" w:space="0" w:color="auto"/>
            <w:right w:val="none" w:sz="0" w:space="0" w:color="auto"/>
          </w:divBdr>
        </w:div>
        <w:div w:id="411969582">
          <w:marLeft w:val="0"/>
          <w:marRight w:val="0"/>
          <w:marTop w:val="0"/>
          <w:marBottom w:val="0"/>
          <w:divBdr>
            <w:top w:val="none" w:sz="0" w:space="0" w:color="auto"/>
            <w:left w:val="none" w:sz="0" w:space="0" w:color="auto"/>
            <w:bottom w:val="none" w:sz="0" w:space="0" w:color="auto"/>
            <w:right w:val="none" w:sz="0" w:space="0" w:color="auto"/>
          </w:divBdr>
        </w:div>
        <w:div w:id="455637252">
          <w:marLeft w:val="0"/>
          <w:marRight w:val="0"/>
          <w:marTop w:val="0"/>
          <w:marBottom w:val="0"/>
          <w:divBdr>
            <w:top w:val="none" w:sz="0" w:space="0" w:color="auto"/>
            <w:left w:val="none" w:sz="0" w:space="0" w:color="auto"/>
            <w:bottom w:val="none" w:sz="0" w:space="0" w:color="auto"/>
            <w:right w:val="none" w:sz="0" w:space="0" w:color="auto"/>
          </w:divBdr>
        </w:div>
        <w:div w:id="495725211">
          <w:marLeft w:val="0"/>
          <w:marRight w:val="0"/>
          <w:marTop w:val="0"/>
          <w:marBottom w:val="0"/>
          <w:divBdr>
            <w:top w:val="none" w:sz="0" w:space="0" w:color="auto"/>
            <w:left w:val="none" w:sz="0" w:space="0" w:color="auto"/>
            <w:bottom w:val="none" w:sz="0" w:space="0" w:color="auto"/>
            <w:right w:val="none" w:sz="0" w:space="0" w:color="auto"/>
          </w:divBdr>
        </w:div>
        <w:div w:id="875848832">
          <w:marLeft w:val="0"/>
          <w:marRight w:val="0"/>
          <w:marTop w:val="0"/>
          <w:marBottom w:val="0"/>
          <w:divBdr>
            <w:top w:val="none" w:sz="0" w:space="0" w:color="auto"/>
            <w:left w:val="none" w:sz="0" w:space="0" w:color="auto"/>
            <w:bottom w:val="none" w:sz="0" w:space="0" w:color="auto"/>
            <w:right w:val="none" w:sz="0" w:space="0" w:color="auto"/>
          </w:divBdr>
        </w:div>
        <w:div w:id="878787713">
          <w:marLeft w:val="0"/>
          <w:marRight w:val="0"/>
          <w:marTop w:val="0"/>
          <w:marBottom w:val="0"/>
          <w:divBdr>
            <w:top w:val="none" w:sz="0" w:space="0" w:color="auto"/>
            <w:left w:val="none" w:sz="0" w:space="0" w:color="auto"/>
            <w:bottom w:val="none" w:sz="0" w:space="0" w:color="auto"/>
            <w:right w:val="none" w:sz="0" w:space="0" w:color="auto"/>
          </w:divBdr>
        </w:div>
        <w:div w:id="1026715527">
          <w:marLeft w:val="0"/>
          <w:marRight w:val="0"/>
          <w:marTop w:val="0"/>
          <w:marBottom w:val="0"/>
          <w:divBdr>
            <w:top w:val="none" w:sz="0" w:space="0" w:color="auto"/>
            <w:left w:val="none" w:sz="0" w:space="0" w:color="auto"/>
            <w:bottom w:val="none" w:sz="0" w:space="0" w:color="auto"/>
            <w:right w:val="none" w:sz="0" w:space="0" w:color="auto"/>
          </w:divBdr>
        </w:div>
        <w:div w:id="1045106478">
          <w:marLeft w:val="0"/>
          <w:marRight w:val="0"/>
          <w:marTop w:val="0"/>
          <w:marBottom w:val="0"/>
          <w:divBdr>
            <w:top w:val="none" w:sz="0" w:space="0" w:color="auto"/>
            <w:left w:val="none" w:sz="0" w:space="0" w:color="auto"/>
            <w:bottom w:val="none" w:sz="0" w:space="0" w:color="auto"/>
            <w:right w:val="none" w:sz="0" w:space="0" w:color="auto"/>
          </w:divBdr>
        </w:div>
        <w:div w:id="1319579373">
          <w:marLeft w:val="0"/>
          <w:marRight w:val="0"/>
          <w:marTop w:val="0"/>
          <w:marBottom w:val="0"/>
          <w:divBdr>
            <w:top w:val="none" w:sz="0" w:space="0" w:color="auto"/>
            <w:left w:val="none" w:sz="0" w:space="0" w:color="auto"/>
            <w:bottom w:val="none" w:sz="0" w:space="0" w:color="auto"/>
            <w:right w:val="none" w:sz="0" w:space="0" w:color="auto"/>
          </w:divBdr>
        </w:div>
        <w:div w:id="1579246929">
          <w:marLeft w:val="0"/>
          <w:marRight w:val="0"/>
          <w:marTop w:val="0"/>
          <w:marBottom w:val="0"/>
          <w:divBdr>
            <w:top w:val="none" w:sz="0" w:space="0" w:color="auto"/>
            <w:left w:val="none" w:sz="0" w:space="0" w:color="auto"/>
            <w:bottom w:val="none" w:sz="0" w:space="0" w:color="auto"/>
            <w:right w:val="none" w:sz="0" w:space="0" w:color="auto"/>
          </w:divBdr>
        </w:div>
        <w:div w:id="1907573279">
          <w:marLeft w:val="0"/>
          <w:marRight w:val="0"/>
          <w:marTop w:val="0"/>
          <w:marBottom w:val="0"/>
          <w:divBdr>
            <w:top w:val="none" w:sz="0" w:space="0" w:color="auto"/>
            <w:left w:val="none" w:sz="0" w:space="0" w:color="auto"/>
            <w:bottom w:val="none" w:sz="0" w:space="0" w:color="auto"/>
            <w:right w:val="none" w:sz="0" w:space="0" w:color="auto"/>
          </w:divBdr>
        </w:div>
        <w:div w:id="1988364454">
          <w:marLeft w:val="0"/>
          <w:marRight w:val="0"/>
          <w:marTop w:val="0"/>
          <w:marBottom w:val="0"/>
          <w:divBdr>
            <w:top w:val="none" w:sz="0" w:space="0" w:color="auto"/>
            <w:left w:val="none" w:sz="0" w:space="0" w:color="auto"/>
            <w:bottom w:val="none" w:sz="0" w:space="0" w:color="auto"/>
            <w:right w:val="none" w:sz="0" w:space="0" w:color="auto"/>
          </w:divBdr>
        </w:div>
        <w:div w:id="2134513612">
          <w:marLeft w:val="0"/>
          <w:marRight w:val="0"/>
          <w:marTop w:val="0"/>
          <w:marBottom w:val="0"/>
          <w:divBdr>
            <w:top w:val="none" w:sz="0" w:space="0" w:color="auto"/>
            <w:left w:val="none" w:sz="0" w:space="0" w:color="auto"/>
            <w:bottom w:val="none" w:sz="0" w:space="0" w:color="auto"/>
            <w:right w:val="none" w:sz="0" w:space="0" w:color="auto"/>
          </w:divBdr>
        </w:div>
      </w:divsChild>
    </w:div>
    <w:div w:id="114789128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7015129">
      <w:bodyDiv w:val="1"/>
      <w:marLeft w:val="0"/>
      <w:marRight w:val="0"/>
      <w:marTop w:val="0"/>
      <w:marBottom w:val="0"/>
      <w:divBdr>
        <w:top w:val="none" w:sz="0" w:space="0" w:color="auto"/>
        <w:left w:val="none" w:sz="0" w:space="0" w:color="auto"/>
        <w:bottom w:val="none" w:sz="0" w:space="0" w:color="auto"/>
        <w:right w:val="none" w:sz="0" w:space="0" w:color="auto"/>
      </w:divBdr>
    </w:div>
    <w:div w:id="1228103434">
      <w:bodyDiv w:val="1"/>
      <w:marLeft w:val="0"/>
      <w:marRight w:val="0"/>
      <w:marTop w:val="0"/>
      <w:marBottom w:val="0"/>
      <w:divBdr>
        <w:top w:val="none" w:sz="0" w:space="0" w:color="auto"/>
        <w:left w:val="none" w:sz="0" w:space="0" w:color="auto"/>
        <w:bottom w:val="none" w:sz="0" w:space="0" w:color="auto"/>
        <w:right w:val="none" w:sz="0" w:space="0" w:color="auto"/>
      </w:divBdr>
      <w:divsChild>
        <w:div w:id="263460957">
          <w:marLeft w:val="0"/>
          <w:marRight w:val="0"/>
          <w:marTop w:val="0"/>
          <w:marBottom w:val="0"/>
          <w:divBdr>
            <w:top w:val="none" w:sz="0" w:space="0" w:color="auto"/>
            <w:left w:val="none" w:sz="0" w:space="0" w:color="auto"/>
            <w:bottom w:val="none" w:sz="0" w:space="0" w:color="auto"/>
            <w:right w:val="none" w:sz="0" w:space="0" w:color="auto"/>
          </w:divBdr>
        </w:div>
        <w:div w:id="1125663248">
          <w:marLeft w:val="0"/>
          <w:marRight w:val="0"/>
          <w:marTop w:val="0"/>
          <w:marBottom w:val="0"/>
          <w:divBdr>
            <w:top w:val="none" w:sz="0" w:space="0" w:color="auto"/>
            <w:left w:val="none" w:sz="0" w:space="0" w:color="auto"/>
            <w:bottom w:val="none" w:sz="0" w:space="0" w:color="auto"/>
            <w:right w:val="none" w:sz="0" w:space="0" w:color="auto"/>
          </w:divBdr>
        </w:div>
        <w:div w:id="1923484783">
          <w:marLeft w:val="0"/>
          <w:marRight w:val="0"/>
          <w:marTop w:val="0"/>
          <w:marBottom w:val="0"/>
          <w:divBdr>
            <w:top w:val="none" w:sz="0" w:space="0" w:color="auto"/>
            <w:left w:val="none" w:sz="0" w:space="0" w:color="auto"/>
            <w:bottom w:val="none" w:sz="0" w:space="0" w:color="auto"/>
            <w:right w:val="none" w:sz="0" w:space="0" w:color="auto"/>
          </w:divBdr>
        </w:div>
      </w:divsChild>
    </w:div>
    <w:div w:id="1260260553">
      <w:bodyDiv w:val="1"/>
      <w:marLeft w:val="0"/>
      <w:marRight w:val="0"/>
      <w:marTop w:val="0"/>
      <w:marBottom w:val="0"/>
      <w:divBdr>
        <w:top w:val="none" w:sz="0" w:space="0" w:color="auto"/>
        <w:left w:val="none" w:sz="0" w:space="0" w:color="auto"/>
        <w:bottom w:val="none" w:sz="0" w:space="0" w:color="auto"/>
        <w:right w:val="none" w:sz="0" w:space="0" w:color="auto"/>
      </w:divBdr>
    </w:div>
    <w:div w:id="1281837278">
      <w:bodyDiv w:val="1"/>
      <w:marLeft w:val="0"/>
      <w:marRight w:val="0"/>
      <w:marTop w:val="0"/>
      <w:marBottom w:val="0"/>
      <w:divBdr>
        <w:top w:val="none" w:sz="0" w:space="0" w:color="auto"/>
        <w:left w:val="none" w:sz="0" w:space="0" w:color="auto"/>
        <w:bottom w:val="none" w:sz="0" w:space="0" w:color="auto"/>
        <w:right w:val="none" w:sz="0" w:space="0" w:color="auto"/>
      </w:divBdr>
      <w:divsChild>
        <w:div w:id="856584038">
          <w:marLeft w:val="0"/>
          <w:marRight w:val="0"/>
          <w:marTop w:val="0"/>
          <w:marBottom w:val="0"/>
          <w:divBdr>
            <w:top w:val="none" w:sz="0" w:space="0" w:color="auto"/>
            <w:left w:val="none" w:sz="0" w:space="0" w:color="auto"/>
            <w:bottom w:val="none" w:sz="0" w:space="0" w:color="auto"/>
            <w:right w:val="none" w:sz="0" w:space="0" w:color="auto"/>
          </w:divBdr>
        </w:div>
        <w:div w:id="1144855035">
          <w:marLeft w:val="0"/>
          <w:marRight w:val="0"/>
          <w:marTop w:val="0"/>
          <w:marBottom w:val="0"/>
          <w:divBdr>
            <w:top w:val="none" w:sz="0" w:space="0" w:color="auto"/>
            <w:left w:val="none" w:sz="0" w:space="0" w:color="auto"/>
            <w:bottom w:val="none" w:sz="0" w:space="0" w:color="auto"/>
            <w:right w:val="none" w:sz="0" w:space="0" w:color="auto"/>
          </w:divBdr>
        </w:div>
        <w:div w:id="1463888714">
          <w:marLeft w:val="0"/>
          <w:marRight w:val="0"/>
          <w:marTop w:val="0"/>
          <w:marBottom w:val="0"/>
          <w:divBdr>
            <w:top w:val="none" w:sz="0" w:space="0" w:color="auto"/>
            <w:left w:val="none" w:sz="0" w:space="0" w:color="auto"/>
            <w:bottom w:val="none" w:sz="0" w:space="0" w:color="auto"/>
            <w:right w:val="none" w:sz="0" w:space="0" w:color="auto"/>
          </w:divBdr>
        </w:div>
      </w:divsChild>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6183753">
      <w:bodyDiv w:val="1"/>
      <w:marLeft w:val="0"/>
      <w:marRight w:val="0"/>
      <w:marTop w:val="0"/>
      <w:marBottom w:val="0"/>
      <w:divBdr>
        <w:top w:val="none" w:sz="0" w:space="0" w:color="auto"/>
        <w:left w:val="none" w:sz="0" w:space="0" w:color="auto"/>
        <w:bottom w:val="none" w:sz="0" w:space="0" w:color="auto"/>
        <w:right w:val="none" w:sz="0" w:space="0" w:color="auto"/>
      </w:divBdr>
    </w:div>
    <w:div w:id="1314946331">
      <w:bodyDiv w:val="1"/>
      <w:marLeft w:val="0"/>
      <w:marRight w:val="0"/>
      <w:marTop w:val="0"/>
      <w:marBottom w:val="0"/>
      <w:divBdr>
        <w:top w:val="none" w:sz="0" w:space="0" w:color="auto"/>
        <w:left w:val="none" w:sz="0" w:space="0" w:color="auto"/>
        <w:bottom w:val="none" w:sz="0" w:space="0" w:color="auto"/>
        <w:right w:val="none" w:sz="0" w:space="0" w:color="auto"/>
      </w:divBdr>
      <w:divsChild>
        <w:div w:id="133834556">
          <w:marLeft w:val="0"/>
          <w:marRight w:val="0"/>
          <w:marTop w:val="0"/>
          <w:marBottom w:val="0"/>
          <w:divBdr>
            <w:top w:val="none" w:sz="0" w:space="0" w:color="auto"/>
            <w:left w:val="none" w:sz="0" w:space="0" w:color="auto"/>
            <w:bottom w:val="none" w:sz="0" w:space="0" w:color="auto"/>
            <w:right w:val="none" w:sz="0" w:space="0" w:color="auto"/>
          </w:divBdr>
        </w:div>
        <w:div w:id="260183569">
          <w:marLeft w:val="0"/>
          <w:marRight w:val="0"/>
          <w:marTop w:val="0"/>
          <w:marBottom w:val="0"/>
          <w:divBdr>
            <w:top w:val="none" w:sz="0" w:space="0" w:color="auto"/>
            <w:left w:val="none" w:sz="0" w:space="0" w:color="auto"/>
            <w:bottom w:val="none" w:sz="0" w:space="0" w:color="auto"/>
            <w:right w:val="none" w:sz="0" w:space="0" w:color="auto"/>
          </w:divBdr>
        </w:div>
      </w:divsChild>
    </w:div>
    <w:div w:id="1337079105">
      <w:bodyDiv w:val="1"/>
      <w:marLeft w:val="0"/>
      <w:marRight w:val="0"/>
      <w:marTop w:val="0"/>
      <w:marBottom w:val="0"/>
      <w:divBdr>
        <w:top w:val="none" w:sz="0" w:space="0" w:color="auto"/>
        <w:left w:val="none" w:sz="0" w:space="0" w:color="auto"/>
        <w:bottom w:val="none" w:sz="0" w:space="0" w:color="auto"/>
        <w:right w:val="none" w:sz="0" w:space="0" w:color="auto"/>
      </w:divBdr>
    </w:div>
    <w:div w:id="1366564056">
      <w:bodyDiv w:val="1"/>
      <w:marLeft w:val="0"/>
      <w:marRight w:val="0"/>
      <w:marTop w:val="0"/>
      <w:marBottom w:val="0"/>
      <w:divBdr>
        <w:top w:val="none" w:sz="0" w:space="0" w:color="auto"/>
        <w:left w:val="none" w:sz="0" w:space="0" w:color="auto"/>
        <w:bottom w:val="none" w:sz="0" w:space="0" w:color="auto"/>
        <w:right w:val="none" w:sz="0" w:space="0" w:color="auto"/>
      </w:divBdr>
    </w:div>
    <w:div w:id="1403991213">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3113397">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9749885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0290566">
      <w:bodyDiv w:val="1"/>
      <w:marLeft w:val="0"/>
      <w:marRight w:val="0"/>
      <w:marTop w:val="0"/>
      <w:marBottom w:val="0"/>
      <w:divBdr>
        <w:top w:val="none" w:sz="0" w:space="0" w:color="auto"/>
        <w:left w:val="none" w:sz="0" w:space="0" w:color="auto"/>
        <w:bottom w:val="none" w:sz="0" w:space="0" w:color="auto"/>
        <w:right w:val="none" w:sz="0" w:space="0" w:color="auto"/>
      </w:divBdr>
      <w:divsChild>
        <w:div w:id="783840904">
          <w:marLeft w:val="0"/>
          <w:marRight w:val="0"/>
          <w:marTop w:val="0"/>
          <w:marBottom w:val="0"/>
          <w:divBdr>
            <w:top w:val="none" w:sz="0" w:space="0" w:color="auto"/>
            <w:left w:val="none" w:sz="0" w:space="0" w:color="auto"/>
            <w:bottom w:val="none" w:sz="0" w:space="0" w:color="auto"/>
            <w:right w:val="none" w:sz="0" w:space="0" w:color="auto"/>
          </w:divBdr>
        </w:div>
        <w:div w:id="1881089161">
          <w:marLeft w:val="0"/>
          <w:marRight w:val="0"/>
          <w:marTop w:val="0"/>
          <w:marBottom w:val="0"/>
          <w:divBdr>
            <w:top w:val="none" w:sz="0" w:space="0" w:color="auto"/>
            <w:left w:val="none" w:sz="0" w:space="0" w:color="auto"/>
            <w:bottom w:val="none" w:sz="0" w:space="0" w:color="auto"/>
            <w:right w:val="none" w:sz="0" w:space="0" w:color="auto"/>
          </w:divBdr>
        </w:div>
      </w:divsChild>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5475395">
      <w:bodyDiv w:val="1"/>
      <w:marLeft w:val="0"/>
      <w:marRight w:val="0"/>
      <w:marTop w:val="0"/>
      <w:marBottom w:val="0"/>
      <w:divBdr>
        <w:top w:val="none" w:sz="0" w:space="0" w:color="auto"/>
        <w:left w:val="none" w:sz="0" w:space="0" w:color="auto"/>
        <w:bottom w:val="none" w:sz="0" w:space="0" w:color="auto"/>
        <w:right w:val="none" w:sz="0" w:space="0" w:color="auto"/>
      </w:divBdr>
    </w:div>
    <w:div w:id="1604726009">
      <w:bodyDiv w:val="1"/>
      <w:marLeft w:val="0"/>
      <w:marRight w:val="0"/>
      <w:marTop w:val="0"/>
      <w:marBottom w:val="0"/>
      <w:divBdr>
        <w:top w:val="none" w:sz="0" w:space="0" w:color="auto"/>
        <w:left w:val="none" w:sz="0" w:space="0" w:color="auto"/>
        <w:bottom w:val="none" w:sz="0" w:space="0" w:color="auto"/>
        <w:right w:val="none" w:sz="0" w:space="0" w:color="auto"/>
      </w:divBdr>
    </w:div>
    <w:div w:id="1657875534">
      <w:bodyDiv w:val="1"/>
      <w:marLeft w:val="0"/>
      <w:marRight w:val="0"/>
      <w:marTop w:val="0"/>
      <w:marBottom w:val="0"/>
      <w:divBdr>
        <w:top w:val="none" w:sz="0" w:space="0" w:color="auto"/>
        <w:left w:val="none" w:sz="0" w:space="0" w:color="auto"/>
        <w:bottom w:val="none" w:sz="0" w:space="0" w:color="auto"/>
        <w:right w:val="none" w:sz="0" w:space="0" w:color="auto"/>
      </w:divBdr>
      <w:divsChild>
        <w:div w:id="157232601">
          <w:marLeft w:val="0"/>
          <w:marRight w:val="0"/>
          <w:marTop w:val="0"/>
          <w:marBottom w:val="0"/>
          <w:divBdr>
            <w:top w:val="none" w:sz="0" w:space="0" w:color="auto"/>
            <w:left w:val="none" w:sz="0" w:space="0" w:color="auto"/>
            <w:bottom w:val="none" w:sz="0" w:space="0" w:color="auto"/>
            <w:right w:val="none" w:sz="0" w:space="0" w:color="auto"/>
          </w:divBdr>
        </w:div>
        <w:div w:id="159974513">
          <w:marLeft w:val="0"/>
          <w:marRight w:val="0"/>
          <w:marTop w:val="0"/>
          <w:marBottom w:val="0"/>
          <w:divBdr>
            <w:top w:val="none" w:sz="0" w:space="0" w:color="auto"/>
            <w:left w:val="none" w:sz="0" w:space="0" w:color="auto"/>
            <w:bottom w:val="none" w:sz="0" w:space="0" w:color="auto"/>
            <w:right w:val="none" w:sz="0" w:space="0" w:color="auto"/>
          </w:divBdr>
        </w:div>
        <w:div w:id="226697230">
          <w:marLeft w:val="0"/>
          <w:marRight w:val="0"/>
          <w:marTop w:val="0"/>
          <w:marBottom w:val="0"/>
          <w:divBdr>
            <w:top w:val="none" w:sz="0" w:space="0" w:color="auto"/>
            <w:left w:val="none" w:sz="0" w:space="0" w:color="auto"/>
            <w:bottom w:val="none" w:sz="0" w:space="0" w:color="auto"/>
            <w:right w:val="none" w:sz="0" w:space="0" w:color="auto"/>
          </w:divBdr>
        </w:div>
        <w:div w:id="554701557">
          <w:marLeft w:val="0"/>
          <w:marRight w:val="0"/>
          <w:marTop w:val="0"/>
          <w:marBottom w:val="0"/>
          <w:divBdr>
            <w:top w:val="none" w:sz="0" w:space="0" w:color="auto"/>
            <w:left w:val="none" w:sz="0" w:space="0" w:color="auto"/>
            <w:bottom w:val="none" w:sz="0" w:space="0" w:color="auto"/>
            <w:right w:val="none" w:sz="0" w:space="0" w:color="auto"/>
          </w:divBdr>
        </w:div>
        <w:div w:id="1199974577">
          <w:marLeft w:val="0"/>
          <w:marRight w:val="0"/>
          <w:marTop w:val="0"/>
          <w:marBottom w:val="0"/>
          <w:divBdr>
            <w:top w:val="none" w:sz="0" w:space="0" w:color="auto"/>
            <w:left w:val="none" w:sz="0" w:space="0" w:color="auto"/>
            <w:bottom w:val="none" w:sz="0" w:space="0" w:color="auto"/>
            <w:right w:val="none" w:sz="0" w:space="0" w:color="auto"/>
          </w:divBdr>
        </w:div>
        <w:div w:id="1428968229">
          <w:marLeft w:val="0"/>
          <w:marRight w:val="0"/>
          <w:marTop w:val="0"/>
          <w:marBottom w:val="0"/>
          <w:divBdr>
            <w:top w:val="none" w:sz="0" w:space="0" w:color="auto"/>
            <w:left w:val="none" w:sz="0" w:space="0" w:color="auto"/>
            <w:bottom w:val="none" w:sz="0" w:space="0" w:color="auto"/>
            <w:right w:val="none" w:sz="0" w:space="0" w:color="auto"/>
          </w:divBdr>
        </w:div>
        <w:div w:id="1442259880">
          <w:marLeft w:val="0"/>
          <w:marRight w:val="0"/>
          <w:marTop w:val="0"/>
          <w:marBottom w:val="0"/>
          <w:divBdr>
            <w:top w:val="none" w:sz="0" w:space="0" w:color="auto"/>
            <w:left w:val="none" w:sz="0" w:space="0" w:color="auto"/>
            <w:bottom w:val="none" w:sz="0" w:space="0" w:color="auto"/>
            <w:right w:val="none" w:sz="0" w:space="0" w:color="auto"/>
          </w:divBdr>
        </w:div>
        <w:div w:id="1528837416">
          <w:marLeft w:val="0"/>
          <w:marRight w:val="0"/>
          <w:marTop w:val="0"/>
          <w:marBottom w:val="0"/>
          <w:divBdr>
            <w:top w:val="none" w:sz="0" w:space="0" w:color="auto"/>
            <w:left w:val="none" w:sz="0" w:space="0" w:color="auto"/>
            <w:bottom w:val="none" w:sz="0" w:space="0" w:color="auto"/>
            <w:right w:val="none" w:sz="0" w:space="0" w:color="auto"/>
          </w:divBdr>
        </w:div>
        <w:div w:id="1547796144">
          <w:marLeft w:val="0"/>
          <w:marRight w:val="0"/>
          <w:marTop w:val="0"/>
          <w:marBottom w:val="0"/>
          <w:divBdr>
            <w:top w:val="none" w:sz="0" w:space="0" w:color="auto"/>
            <w:left w:val="none" w:sz="0" w:space="0" w:color="auto"/>
            <w:bottom w:val="none" w:sz="0" w:space="0" w:color="auto"/>
            <w:right w:val="none" w:sz="0" w:space="0" w:color="auto"/>
          </w:divBdr>
        </w:div>
        <w:div w:id="1818455287">
          <w:marLeft w:val="0"/>
          <w:marRight w:val="0"/>
          <w:marTop w:val="0"/>
          <w:marBottom w:val="0"/>
          <w:divBdr>
            <w:top w:val="none" w:sz="0" w:space="0" w:color="auto"/>
            <w:left w:val="none" w:sz="0" w:space="0" w:color="auto"/>
            <w:bottom w:val="none" w:sz="0" w:space="0" w:color="auto"/>
            <w:right w:val="none" w:sz="0" w:space="0" w:color="auto"/>
          </w:divBdr>
        </w:div>
        <w:div w:id="1907646885">
          <w:marLeft w:val="0"/>
          <w:marRight w:val="0"/>
          <w:marTop w:val="0"/>
          <w:marBottom w:val="0"/>
          <w:divBdr>
            <w:top w:val="none" w:sz="0" w:space="0" w:color="auto"/>
            <w:left w:val="none" w:sz="0" w:space="0" w:color="auto"/>
            <w:bottom w:val="none" w:sz="0" w:space="0" w:color="auto"/>
            <w:right w:val="none" w:sz="0" w:space="0" w:color="auto"/>
          </w:divBdr>
        </w:div>
        <w:div w:id="2049840603">
          <w:marLeft w:val="0"/>
          <w:marRight w:val="0"/>
          <w:marTop w:val="0"/>
          <w:marBottom w:val="0"/>
          <w:divBdr>
            <w:top w:val="none" w:sz="0" w:space="0" w:color="auto"/>
            <w:left w:val="none" w:sz="0" w:space="0" w:color="auto"/>
            <w:bottom w:val="none" w:sz="0" w:space="0" w:color="auto"/>
            <w:right w:val="none" w:sz="0" w:space="0" w:color="auto"/>
          </w:divBdr>
        </w:div>
      </w:divsChild>
    </w:div>
    <w:div w:id="174791482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5542106">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0030921">
      <w:bodyDiv w:val="1"/>
      <w:marLeft w:val="0"/>
      <w:marRight w:val="0"/>
      <w:marTop w:val="0"/>
      <w:marBottom w:val="0"/>
      <w:divBdr>
        <w:top w:val="none" w:sz="0" w:space="0" w:color="auto"/>
        <w:left w:val="none" w:sz="0" w:space="0" w:color="auto"/>
        <w:bottom w:val="none" w:sz="0" w:space="0" w:color="auto"/>
        <w:right w:val="none" w:sz="0" w:space="0" w:color="auto"/>
      </w:divBdr>
    </w:div>
    <w:div w:id="1873686345">
      <w:bodyDiv w:val="1"/>
      <w:marLeft w:val="0"/>
      <w:marRight w:val="0"/>
      <w:marTop w:val="0"/>
      <w:marBottom w:val="0"/>
      <w:divBdr>
        <w:top w:val="none" w:sz="0" w:space="0" w:color="auto"/>
        <w:left w:val="none" w:sz="0" w:space="0" w:color="auto"/>
        <w:bottom w:val="none" w:sz="0" w:space="0" w:color="auto"/>
        <w:right w:val="none" w:sz="0" w:space="0" w:color="auto"/>
      </w:divBdr>
    </w:div>
    <w:div w:id="1928880186">
      <w:bodyDiv w:val="1"/>
      <w:marLeft w:val="0"/>
      <w:marRight w:val="0"/>
      <w:marTop w:val="0"/>
      <w:marBottom w:val="0"/>
      <w:divBdr>
        <w:top w:val="none" w:sz="0" w:space="0" w:color="auto"/>
        <w:left w:val="none" w:sz="0" w:space="0" w:color="auto"/>
        <w:bottom w:val="none" w:sz="0" w:space="0" w:color="auto"/>
        <w:right w:val="none" w:sz="0" w:space="0" w:color="auto"/>
      </w:divBdr>
    </w:div>
    <w:div w:id="1935555502">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8699457">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1905500">
      <w:bodyDiv w:val="1"/>
      <w:marLeft w:val="0"/>
      <w:marRight w:val="0"/>
      <w:marTop w:val="0"/>
      <w:marBottom w:val="0"/>
      <w:divBdr>
        <w:top w:val="none" w:sz="0" w:space="0" w:color="auto"/>
        <w:left w:val="none" w:sz="0" w:space="0" w:color="auto"/>
        <w:bottom w:val="none" w:sz="0" w:space="0" w:color="auto"/>
        <w:right w:val="none" w:sz="0" w:space="0" w:color="auto"/>
      </w:divBdr>
    </w:div>
    <w:div w:id="2026900728">
      <w:bodyDiv w:val="1"/>
      <w:marLeft w:val="0"/>
      <w:marRight w:val="0"/>
      <w:marTop w:val="0"/>
      <w:marBottom w:val="0"/>
      <w:divBdr>
        <w:top w:val="none" w:sz="0" w:space="0" w:color="auto"/>
        <w:left w:val="none" w:sz="0" w:space="0" w:color="auto"/>
        <w:bottom w:val="none" w:sz="0" w:space="0" w:color="auto"/>
        <w:right w:val="none" w:sz="0" w:space="0" w:color="auto"/>
      </w:divBdr>
      <w:divsChild>
        <w:div w:id="2823983">
          <w:marLeft w:val="0"/>
          <w:marRight w:val="0"/>
          <w:marTop w:val="0"/>
          <w:marBottom w:val="0"/>
          <w:divBdr>
            <w:top w:val="none" w:sz="0" w:space="0" w:color="auto"/>
            <w:left w:val="none" w:sz="0" w:space="0" w:color="auto"/>
            <w:bottom w:val="none" w:sz="0" w:space="0" w:color="auto"/>
            <w:right w:val="none" w:sz="0" w:space="0" w:color="auto"/>
          </w:divBdr>
        </w:div>
        <w:div w:id="65883204">
          <w:marLeft w:val="0"/>
          <w:marRight w:val="0"/>
          <w:marTop w:val="0"/>
          <w:marBottom w:val="0"/>
          <w:divBdr>
            <w:top w:val="none" w:sz="0" w:space="0" w:color="auto"/>
            <w:left w:val="none" w:sz="0" w:space="0" w:color="auto"/>
            <w:bottom w:val="none" w:sz="0" w:space="0" w:color="auto"/>
            <w:right w:val="none" w:sz="0" w:space="0" w:color="auto"/>
          </w:divBdr>
        </w:div>
        <w:div w:id="70542841">
          <w:marLeft w:val="0"/>
          <w:marRight w:val="0"/>
          <w:marTop w:val="0"/>
          <w:marBottom w:val="0"/>
          <w:divBdr>
            <w:top w:val="none" w:sz="0" w:space="0" w:color="auto"/>
            <w:left w:val="none" w:sz="0" w:space="0" w:color="auto"/>
            <w:bottom w:val="none" w:sz="0" w:space="0" w:color="auto"/>
            <w:right w:val="none" w:sz="0" w:space="0" w:color="auto"/>
          </w:divBdr>
        </w:div>
        <w:div w:id="270670532">
          <w:marLeft w:val="0"/>
          <w:marRight w:val="0"/>
          <w:marTop w:val="0"/>
          <w:marBottom w:val="0"/>
          <w:divBdr>
            <w:top w:val="none" w:sz="0" w:space="0" w:color="auto"/>
            <w:left w:val="none" w:sz="0" w:space="0" w:color="auto"/>
            <w:bottom w:val="none" w:sz="0" w:space="0" w:color="auto"/>
            <w:right w:val="none" w:sz="0" w:space="0" w:color="auto"/>
          </w:divBdr>
        </w:div>
        <w:div w:id="578052589">
          <w:marLeft w:val="0"/>
          <w:marRight w:val="0"/>
          <w:marTop w:val="0"/>
          <w:marBottom w:val="0"/>
          <w:divBdr>
            <w:top w:val="none" w:sz="0" w:space="0" w:color="auto"/>
            <w:left w:val="none" w:sz="0" w:space="0" w:color="auto"/>
            <w:bottom w:val="none" w:sz="0" w:space="0" w:color="auto"/>
            <w:right w:val="none" w:sz="0" w:space="0" w:color="auto"/>
          </w:divBdr>
        </w:div>
        <w:div w:id="668942334">
          <w:marLeft w:val="0"/>
          <w:marRight w:val="0"/>
          <w:marTop w:val="0"/>
          <w:marBottom w:val="0"/>
          <w:divBdr>
            <w:top w:val="none" w:sz="0" w:space="0" w:color="auto"/>
            <w:left w:val="none" w:sz="0" w:space="0" w:color="auto"/>
            <w:bottom w:val="none" w:sz="0" w:space="0" w:color="auto"/>
            <w:right w:val="none" w:sz="0" w:space="0" w:color="auto"/>
          </w:divBdr>
        </w:div>
        <w:div w:id="1084915237">
          <w:marLeft w:val="0"/>
          <w:marRight w:val="0"/>
          <w:marTop w:val="0"/>
          <w:marBottom w:val="0"/>
          <w:divBdr>
            <w:top w:val="none" w:sz="0" w:space="0" w:color="auto"/>
            <w:left w:val="none" w:sz="0" w:space="0" w:color="auto"/>
            <w:bottom w:val="none" w:sz="0" w:space="0" w:color="auto"/>
            <w:right w:val="none" w:sz="0" w:space="0" w:color="auto"/>
          </w:divBdr>
        </w:div>
        <w:div w:id="1336306587">
          <w:marLeft w:val="0"/>
          <w:marRight w:val="0"/>
          <w:marTop w:val="0"/>
          <w:marBottom w:val="0"/>
          <w:divBdr>
            <w:top w:val="none" w:sz="0" w:space="0" w:color="auto"/>
            <w:left w:val="none" w:sz="0" w:space="0" w:color="auto"/>
            <w:bottom w:val="none" w:sz="0" w:space="0" w:color="auto"/>
            <w:right w:val="none" w:sz="0" w:space="0" w:color="auto"/>
          </w:divBdr>
        </w:div>
        <w:div w:id="1410880062">
          <w:marLeft w:val="0"/>
          <w:marRight w:val="0"/>
          <w:marTop w:val="0"/>
          <w:marBottom w:val="0"/>
          <w:divBdr>
            <w:top w:val="none" w:sz="0" w:space="0" w:color="auto"/>
            <w:left w:val="none" w:sz="0" w:space="0" w:color="auto"/>
            <w:bottom w:val="none" w:sz="0" w:space="0" w:color="auto"/>
            <w:right w:val="none" w:sz="0" w:space="0" w:color="auto"/>
          </w:divBdr>
        </w:div>
        <w:div w:id="1667049001">
          <w:marLeft w:val="0"/>
          <w:marRight w:val="0"/>
          <w:marTop w:val="0"/>
          <w:marBottom w:val="0"/>
          <w:divBdr>
            <w:top w:val="none" w:sz="0" w:space="0" w:color="auto"/>
            <w:left w:val="none" w:sz="0" w:space="0" w:color="auto"/>
            <w:bottom w:val="none" w:sz="0" w:space="0" w:color="auto"/>
            <w:right w:val="none" w:sz="0" w:space="0" w:color="auto"/>
          </w:divBdr>
        </w:div>
        <w:div w:id="1800099993">
          <w:marLeft w:val="0"/>
          <w:marRight w:val="0"/>
          <w:marTop w:val="0"/>
          <w:marBottom w:val="0"/>
          <w:divBdr>
            <w:top w:val="none" w:sz="0" w:space="0" w:color="auto"/>
            <w:left w:val="none" w:sz="0" w:space="0" w:color="auto"/>
            <w:bottom w:val="none" w:sz="0" w:space="0" w:color="auto"/>
            <w:right w:val="none" w:sz="0" w:space="0" w:color="auto"/>
          </w:divBdr>
        </w:div>
      </w:divsChild>
    </w:div>
    <w:div w:id="2033259064">
      <w:bodyDiv w:val="1"/>
      <w:marLeft w:val="0"/>
      <w:marRight w:val="0"/>
      <w:marTop w:val="0"/>
      <w:marBottom w:val="0"/>
      <w:divBdr>
        <w:top w:val="none" w:sz="0" w:space="0" w:color="auto"/>
        <w:left w:val="none" w:sz="0" w:space="0" w:color="auto"/>
        <w:bottom w:val="none" w:sz="0" w:space="0" w:color="auto"/>
        <w:right w:val="none" w:sz="0" w:space="0" w:color="auto"/>
      </w:divBdr>
    </w:div>
    <w:div w:id="2033415541">
      <w:bodyDiv w:val="1"/>
      <w:marLeft w:val="0"/>
      <w:marRight w:val="0"/>
      <w:marTop w:val="0"/>
      <w:marBottom w:val="0"/>
      <w:divBdr>
        <w:top w:val="none" w:sz="0" w:space="0" w:color="auto"/>
        <w:left w:val="none" w:sz="0" w:space="0" w:color="auto"/>
        <w:bottom w:val="none" w:sz="0" w:space="0" w:color="auto"/>
        <w:right w:val="none" w:sz="0" w:space="0" w:color="auto"/>
      </w:divBdr>
    </w:div>
    <w:div w:id="2038695343">
      <w:bodyDiv w:val="1"/>
      <w:marLeft w:val="0"/>
      <w:marRight w:val="0"/>
      <w:marTop w:val="0"/>
      <w:marBottom w:val="0"/>
      <w:divBdr>
        <w:top w:val="none" w:sz="0" w:space="0" w:color="auto"/>
        <w:left w:val="none" w:sz="0" w:space="0" w:color="auto"/>
        <w:bottom w:val="none" w:sz="0" w:space="0" w:color="auto"/>
        <w:right w:val="none" w:sz="0" w:space="0" w:color="auto"/>
      </w:divBdr>
    </w:div>
    <w:div w:id="2041006677">
      <w:bodyDiv w:val="1"/>
      <w:marLeft w:val="0"/>
      <w:marRight w:val="0"/>
      <w:marTop w:val="0"/>
      <w:marBottom w:val="0"/>
      <w:divBdr>
        <w:top w:val="none" w:sz="0" w:space="0" w:color="auto"/>
        <w:left w:val="none" w:sz="0" w:space="0" w:color="auto"/>
        <w:bottom w:val="none" w:sz="0" w:space="0" w:color="auto"/>
        <w:right w:val="none" w:sz="0" w:space="0" w:color="auto"/>
      </w:divBdr>
    </w:div>
    <w:div w:id="2041931017">
      <w:bodyDiv w:val="1"/>
      <w:marLeft w:val="0"/>
      <w:marRight w:val="0"/>
      <w:marTop w:val="0"/>
      <w:marBottom w:val="0"/>
      <w:divBdr>
        <w:top w:val="none" w:sz="0" w:space="0" w:color="auto"/>
        <w:left w:val="none" w:sz="0" w:space="0" w:color="auto"/>
        <w:bottom w:val="none" w:sz="0" w:space="0" w:color="auto"/>
        <w:right w:val="none" w:sz="0" w:space="0" w:color="auto"/>
      </w:divBdr>
      <w:divsChild>
        <w:div w:id="59718784">
          <w:marLeft w:val="0"/>
          <w:marRight w:val="0"/>
          <w:marTop w:val="0"/>
          <w:marBottom w:val="0"/>
          <w:divBdr>
            <w:top w:val="none" w:sz="0" w:space="0" w:color="auto"/>
            <w:left w:val="none" w:sz="0" w:space="0" w:color="auto"/>
            <w:bottom w:val="none" w:sz="0" w:space="0" w:color="auto"/>
            <w:right w:val="none" w:sz="0" w:space="0" w:color="auto"/>
          </w:divBdr>
        </w:div>
        <w:div w:id="282344717">
          <w:marLeft w:val="0"/>
          <w:marRight w:val="0"/>
          <w:marTop w:val="0"/>
          <w:marBottom w:val="0"/>
          <w:divBdr>
            <w:top w:val="none" w:sz="0" w:space="0" w:color="auto"/>
            <w:left w:val="none" w:sz="0" w:space="0" w:color="auto"/>
            <w:bottom w:val="none" w:sz="0" w:space="0" w:color="auto"/>
            <w:right w:val="none" w:sz="0" w:space="0" w:color="auto"/>
          </w:divBdr>
        </w:div>
        <w:div w:id="356782374">
          <w:marLeft w:val="0"/>
          <w:marRight w:val="0"/>
          <w:marTop w:val="0"/>
          <w:marBottom w:val="0"/>
          <w:divBdr>
            <w:top w:val="none" w:sz="0" w:space="0" w:color="auto"/>
            <w:left w:val="none" w:sz="0" w:space="0" w:color="auto"/>
            <w:bottom w:val="none" w:sz="0" w:space="0" w:color="auto"/>
            <w:right w:val="none" w:sz="0" w:space="0" w:color="auto"/>
          </w:divBdr>
        </w:div>
        <w:div w:id="366031485">
          <w:marLeft w:val="0"/>
          <w:marRight w:val="0"/>
          <w:marTop w:val="0"/>
          <w:marBottom w:val="0"/>
          <w:divBdr>
            <w:top w:val="none" w:sz="0" w:space="0" w:color="auto"/>
            <w:left w:val="none" w:sz="0" w:space="0" w:color="auto"/>
            <w:bottom w:val="none" w:sz="0" w:space="0" w:color="auto"/>
            <w:right w:val="none" w:sz="0" w:space="0" w:color="auto"/>
          </w:divBdr>
        </w:div>
        <w:div w:id="539827923">
          <w:marLeft w:val="0"/>
          <w:marRight w:val="0"/>
          <w:marTop w:val="0"/>
          <w:marBottom w:val="0"/>
          <w:divBdr>
            <w:top w:val="none" w:sz="0" w:space="0" w:color="auto"/>
            <w:left w:val="none" w:sz="0" w:space="0" w:color="auto"/>
            <w:bottom w:val="none" w:sz="0" w:space="0" w:color="auto"/>
            <w:right w:val="none" w:sz="0" w:space="0" w:color="auto"/>
          </w:divBdr>
        </w:div>
        <w:div w:id="860169035">
          <w:marLeft w:val="0"/>
          <w:marRight w:val="0"/>
          <w:marTop w:val="0"/>
          <w:marBottom w:val="0"/>
          <w:divBdr>
            <w:top w:val="none" w:sz="0" w:space="0" w:color="auto"/>
            <w:left w:val="none" w:sz="0" w:space="0" w:color="auto"/>
            <w:bottom w:val="none" w:sz="0" w:space="0" w:color="auto"/>
            <w:right w:val="none" w:sz="0" w:space="0" w:color="auto"/>
          </w:divBdr>
        </w:div>
        <w:div w:id="1084302643">
          <w:marLeft w:val="0"/>
          <w:marRight w:val="0"/>
          <w:marTop w:val="0"/>
          <w:marBottom w:val="0"/>
          <w:divBdr>
            <w:top w:val="none" w:sz="0" w:space="0" w:color="auto"/>
            <w:left w:val="none" w:sz="0" w:space="0" w:color="auto"/>
            <w:bottom w:val="none" w:sz="0" w:space="0" w:color="auto"/>
            <w:right w:val="none" w:sz="0" w:space="0" w:color="auto"/>
          </w:divBdr>
        </w:div>
        <w:div w:id="1472554639">
          <w:marLeft w:val="0"/>
          <w:marRight w:val="0"/>
          <w:marTop w:val="0"/>
          <w:marBottom w:val="0"/>
          <w:divBdr>
            <w:top w:val="none" w:sz="0" w:space="0" w:color="auto"/>
            <w:left w:val="none" w:sz="0" w:space="0" w:color="auto"/>
            <w:bottom w:val="none" w:sz="0" w:space="0" w:color="auto"/>
            <w:right w:val="none" w:sz="0" w:space="0" w:color="auto"/>
          </w:divBdr>
        </w:div>
        <w:div w:id="1679623587">
          <w:marLeft w:val="0"/>
          <w:marRight w:val="0"/>
          <w:marTop w:val="0"/>
          <w:marBottom w:val="0"/>
          <w:divBdr>
            <w:top w:val="none" w:sz="0" w:space="0" w:color="auto"/>
            <w:left w:val="none" w:sz="0" w:space="0" w:color="auto"/>
            <w:bottom w:val="none" w:sz="0" w:space="0" w:color="auto"/>
            <w:right w:val="none" w:sz="0" w:space="0" w:color="auto"/>
          </w:divBdr>
        </w:div>
        <w:div w:id="1929843270">
          <w:marLeft w:val="0"/>
          <w:marRight w:val="0"/>
          <w:marTop w:val="0"/>
          <w:marBottom w:val="0"/>
          <w:divBdr>
            <w:top w:val="none" w:sz="0" w:space="0" w:color="auto"/>
            <w:left w:val="none" w:sz="0" w:space="0" w:color="auto"/>
            <w:bottom w:val="none" w:sz="0" w:space="0" w:color="auto"/>
            <w:right w:val="none" w:sz="0" w:space="0" w:color="auto"/>
          </w:divBdr>
        </w:div>
        <w:div w:id="2003316636">
          <w:marLeft w:val="0"/>
          <w:marRight w:val="0"/>
          <w:marTop w:val="0"/>
          <w:marBottom w:val="0"/>
          <w:divBdr>
            <w:top w:val="none" w:sz="0" w:space="0" w:color="auto"/>
            <w:left w:val="none" w:sz="0" w:space="0" w:color="auto"/>
            <w:bottom w:val="none" w:sz="0" w:space="0" w:color="auto"/>
            <w:right w:val="none" w:sz="0" w:space="0" w:color="auto"/>
          </w:divBdr>
        </w:div>
      </w:divsChild>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relogic.com/downloadable-docs/avm-faqs.pdf" TargetMode="External"/><Relationship Id="rId18" Type="http://schemas.openxmlformats.org/officeDocument/2006/relationships/hyperlink" Target="https://www.fhfaoig.gov/sites/default/files/WPR-2018-006.pdf" TargetMode="External"/><Relationship Id="rId26" Type="http://schemas.openxmlformats.org/officeDocument/2006/relationships/hyperlink" Target="https://www.occ.gov/news-issuances/bulletins/2010/bulletin-2010-42.html"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freddiemac.com/hve/pdf/dougwhitepaper_metricsmatter.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orelogic.com/downloadable-docs/automated-valuation-model-testing.pdf" TargetMode="External"/><Relationship Id="rId17" Type="http://schemas.openxmlformats.org/officeDocument/2006/relationships/hyperlink" Target="https://www.fdic.gov/news/news/financial/2018/fil18076.html" TargetMode="External"/><Relationship Id="rId25" Type="http://schemas.openxmlformats.org/officeDocument/2006/relationships/hyperlink" Target="http://www.federalregister.gov/documents/2010/12/10/2010-30913/interagency-appraisal-and-evaluation-guideline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oodys.com/research/Moodys-Automated-valuation-models-for-home-appraisals-a-mixed-bag--PBS_1182443?WT.mc_id=AM%7eRmluYW56ZW4ubmV0X1JTQl9SYXRpbmdzX05ld3NfTm9fVHJhbnNsYXRpb25z%7e20190624_PBS_1182443" TargetMode="External"/><Relationship Id="rId20" Type="http://schemas.openxmlformats.org/officeDocument/2006/relationships/hyperlink" Target="http://www.corelogic.com.au/sites/default/files/2018-03/20151028-CL-RP_AVM.pdf" TargetMode="External"/><Relationship Id="rId29" Type="http://schemas.openxmlformats.org/officeDocument/2006/relationships/hyperlink" Target="https://home.treasury.gov/sites/default/files/2018-08/A-Financial-System-that-Creates-%09Economic-Opportunities---Nonbank-Financials-Fintech-and-Innova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ginfo.gov/public/do/eAgendaViewRule?pubId=201410&amp;RIN=3170-AA44" TargetMode="External"/><Relationship Id="rId24" Type="http://schemas.openxmlformats.org/officeDocument/2006/relationships/hyperlink" Target="http://www.iaao.org/media/standards/Verification_Adjustment_of_Sales.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doi.org/10.1080/15214842.2020.1757352" TargetMode="External"/><Relationship Id="rId23" Type="http://schemas.openxmlformats.org/officeDocument/2006/relationships/hyperlink" Target="http://www.iaao.org/media/standards/AVM_STANDARD_2018.pdf" TargetMode="External"/><Relationship Id="rId28" Type="http://schemas.openxmlformats.org/officeDocument/2006/relationships/hyperlink" Target="http://www.researchgate.net/publication/338992074_Metrics_for_Measuring_the_Performance%09_of_Machine_Learning_Prediction_Models_An_Application_to_the_Housing_Market" TargetMode="External"/><Relationship Id="rId36" Type="http://schemas.openxmlformats.org/officeDocument/2006/relationships/header" Target="header3.xml"/><Relationship Id="rId10" Type="http://schemas.openxmlformats.org/officeDocument/2006/relationships/hyperlink" Target="http://www.avmetrics.net/" TargetMode="External"/><Relationship Id="rId19" Type="http://schemas.openxmlformats.org/officeDocument/2006/relationships/hyperlink" Target="http://www.freddiemac.com/hve/fsd.html" TargetMode="External"/><Relationship Id="rId31"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www.corelogic.com/downloadable-docs/freddie-mac-home-value-suite/asset_upload_file698_27248.pdf" TargetMode="External"/><Relationship Id="rId14" Type="http://schemas.openxmlformats.org/officeDocument/2006/relationships/hyperlink" Target="https://docplayer.net/8833631-The-crc-guide-to-automated-valuation-model-avm-performance-testing-preliminary-report-of-the-avm-performance-testing-subcommittee.html" TargetMode="External"/><Relationship Id="rId22" Type="http://schemas.openxmlformats.org/officeDocument/2006/relationships/hyperlink" Target="http://www.iaao.org/media/standards/Standard_on_Ratio_Studies.pdf" TargetMode="External"/><Relationship Id="rId27" Type="http://schemas.openxmlformats.org/officeDocument/2006/relationships/hyperlink" Target="http://www.mba.org/Documents/MBA_Real_Estate_Appraisals_(0).pdf" TargetMode="External"/><Relationship Id="rId30" Type="http://schemas.openxmlformats.org/officeDocument/2006/relationships/image" Target="media/image1.jpeg"/><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w:rsidRDefault="00313E2F"&gt;&lt;w:r&gt;&lt;w:t&gt;Testing AVMs&lt;/w:t&gt;&lt;/w:r&gt;&lt;/w:p&gt;&lt;w:sectPr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E951EB24-28C7-411F-B08B-45E54B6F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paper.dotx</Template>
  <TotalTime>0</TotalTime>
  <Pages>39</Pages>
  <Words>10361</Words>
  <Characters>59059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HansI_000</dc:creator>
  <cp:keywords/>
  <dc:description/>
  <cp:lastModifiedBy>Mark D Ecker</cp:lastModifiedBy>
  <cp:revision>2</cp:revision>
  <cp:lastPrinted>2021-05-10T20:22:00Z</cp:lastPrinted>
  <dcterms:created xsi:type="dcterms:W3CDTF">2021-05-17T15:21:00Z</dcterms:created>
  <dcterms:modified xsi:type="dcterms:W3CDTF">2021-05-17T15:21:00Z</dcterms:modified>
</cp:coreProperties>
</file>